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7">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October 23, 2012</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001-35565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4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GENERAL FORM FOR REGISTRATION OF SECURITIES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12(b) or (g)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6" w:lineRule="exact"/>
        <w:rPr>
          <w:sz w:val="24"/>
          <w:szCs w:val="24"/>
          <w:color w:val="auto"/>
        </w:rPr>
      </w:pPr>
    </w:p>
    <w:tbl>
      <w:tblPr>
        <w:tblLayout w:type="fixed"/>
        <w:tblInd w:w="3160" w:type="dxa"/>
        <w:tblCellMar>
          <w:top w:w="0" w:type="dxa"/>
          <w:left w:w="0" w:type="dxa"/>
          <w:bottom w:w="0" w:type="dxa"/>
          <w:right w:w="0" w:type="dxa"/>
        </w:tblCellMar>
      </w:tblP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Delaware</w:t>
            </w:r>
          </w:p>
        </w:tc>
        <w:tc>
          <w:tcPr>
            <w:tcW w:w="2100" w:type="dxa"/>
            <w:vAlign w:val="bottom"/>
          </w:tcPr>
          <w:p>
            <w:pPr>
              <w:jc w:val="right"/>
              <w:ind w:right="275"/>
              <w:spacing w:after="0"/>
              <w:rPr>
                <w:sz w:val="20"/>
                <w:szCs w:val="20"/>
                <w:color w:val="auto"/>
              </w:rPr>
            </w:pPr>
            <w:r>
              <w:rPr>
                <w:rFonts w:ascii="Arial" w:cs="Arial" w:eastAsia="Arial" w:hAnsi="Arial"/>
                <w:sz w:val="17"/>
                <w:szCs w:val="17"/>
                <w:b w:val="1"/>
                <w:bCs w:val="1"/>
                <w:color w:val="auto"/>
              </w:rPr>
              <w:t>32-0375147</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(State or other jurisdiction of</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(I.R.S. employer</w:t>
            </w: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incorporation or organization)</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4"/>
              </w:rPr>
              <w:t>Identification number)</w:t>
            </w:r>
          </w:p>
        </w:tc>
        <w:tc>
          <w:tcPr>
            <w:tcW w:w="0" w:type="dxa"/>
            <w:vAlign w:val="bottom"/>
          </w:tcPr>
          <w:p>
            <w:pPr>
              <w:spacing w:after="0"/>
              <w:rPr>
                <w:sz w:val="1"/>
                <w:szCs w:val="1"/>
                <w:color w:val="auto"/>
              </w:rPr>
            </w:pPr>
          </w:p>
        </w:tc>
      </w:tr>
      <w:tr>
        <w:trPr>
          <w:trHeight w:val="436"/>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1 North Waukegan Road,</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3"/>
              </w:rPr>
              <w:t>North Chicago, Illinois</w:t>
            </w:r>
          </w:p>
        </w:tc>
        <w:tc>
          <w:tcPr>
            <w:tcW w:w="210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60064</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3"/>
              </w:rPr>
              <w:t>(Address of principal executive</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4"/>
              </w:rPr>
              <w:t>offices)</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847-932-7900</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(Registrant's telephone number, including area code)</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214" w:lineRule="exact"/>
        <w:rPr>
          <w:sz w:val="24"/>
          <w:szCs w:val="24"/>
          <w:color w:val="auto"/>
        </w:rPr>
      </w:pPr>
    </w:p>
    <w:tbl>
      <w:tblPr>
        <w:tblLayout w:type="fixed"/>
        <w:tblInd w:w="26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Each Class is to be</w:t>
            </w:r>
          </w:p>
        </w:tc>
      </w:tr>
      <w:tr>
        <w:trPr>
          <w:trHeight w:val="15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 to be so Registered</w:t>
            </w:r>
          </w:p>
        </w:tc>
        <w:tc>
          <w:tcPr>
            <w:tcW w:w="26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p>
        </w:tc>
      </w:tr>
      <w:tr>
        <w:trPr>
          <w:trHeight w:val="209"/>
        </w:trPr>
        <w:tc>
          <w:tcPr>
            <w:tcW w:w="2980" w:type="dxa"/>
            <w:vAlign w:val="bottom"/>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26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91" w:lineRule="exact"/>
        <w:rPr>
          <w:sz w:val="24"/>
          <w:szCs w:val="24"/>
          <w:color w:val="auto"/>
        </w:rPr>
      </w:pPr>
    </w:p>
    <w:p>
      <w:pPr>
        <w:jc w:val="center"/>
        <w:ind w:left="340"/>
        <w:spacing w:after="0"/>
        <w:rPr>
          <w:sz w:val="20"/>
          <w:szCs w:val="20"/>
          <w:color w:val="auto"/>
        </w:rPr>
      </w:pPr>
      <w:r>
        <w:rPr>
          <w:rFonts w:ascii="Arial" w:cs="Arial" w:eastAsia="Arial" w:hAnsi="Arial"/>
          <w:sz w:val="17"/>
          <w:szCs w:val="17"/>
          <w:color w:val="auto"/>
        </w:rPr>
        <w:t xml:space="preserve">Securities to be registered pursuant to Section 12(g) of the Act: </w:t>
      </w: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506095</wp:posOffset>
            </wp:positionV>
            <wp:extent cx="7254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CROSS-REFERENCE SHEET BETWEEN INFORMATION STATEMENT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ITEMS OF FORM 10</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"Information Statement Summary," "Risk Factors," "Management's Discussion and Analysis of Financial Condition and Results of Operations," "Business," "Certain Relationships and Related Person Transactions," and "Where You Can Find More Information." Those sections are incorporated herein by reference.</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"Risk Factors."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i w:val="1"/>
          <w:iCs w:val="1"/>
          <w:color w:val="auto"/>
        </w:rPr>
        <w:t>Financial Information.</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"Unaudited Pro Forma Combined Financial Statements," "Selected Historical Combined Financial Data," and "Management's Discussion and Analysis of Financial Condition and Results of Operations." Those sections are incorporated herein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p>
    <w:p>
      <w:pPr>
        <w:spacing w:after="0" w:line="228" w:lineRule="exact"/>
        <w:rPr>
          <w:sz w:val="20"/>
          <w:szCs w:val="20"/>
          <w:color w:val="auto"/>
        </w:rPr>
      </w:pPr>
    </w:p>
    <w:p>
      <w:pPr>
        <w:ind w:right="8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"Business—Manufacturing Capabilities and Operations."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"Compensation Discussion and Analysis" and "Executive Compensation." Those sections are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Certain Relationships and Related Transactions.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i w:val="1"/>
          <w:iCs w:val="1"/>
          <w:color w:val="auto"/>
        </w:rPr>
        <w:t>Legal Proceedings.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"Business—Legal Proceedings."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Market Price of, and Dividends on, the Registrant's Common Equity and Related Stockholder Matters.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"Capitalization,"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Indebtedness" and "Description of AbbVie's Capital Stock—Sale of Unregistered Securities." Those sections are incorporated herein by reference.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Description of Registrant's Securities to be Registered.</w:t>
      </w:r>
    </w:p>
    <w:p>
      <w:pPr>
        <w:spacing w:after="0" w:line="228"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AbbVie's Capital Stock—Limitations on Liability, Indemnification of Officers and Directors, and Insurance."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28"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Statements</w:t>
      </w:r>
    </w:p>
    <w:p>
      <w:pPr>
        <w:spacing w:after="0" w:line="224"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573" w:right="259" w:bottom="1440" w:gutter="0" w:footer="0" w:header="0"/>
        </w:sectPr>
      </w:pPr>
    </w:p>
    <w:bookmarkStart w:id="3" w:name="page4"/>
    <w:bookmarkEnd w:id="3"/>
    <w:p>
      <w:pPr>
        <w:spacing w:after="0"/>
        <w:tabs>
          <w:tab w:leader="none" w:pos="360" w:val="left"/>
        </w:tabs>
        <w:rPr>
          <w:sz w:val="20"/>
          <w:szCs w:val="20"/>
          <w:color w:val="auto"/>
        </w:rPr>
      </w:pPr>
      <w:r>
        <w:rPr>
          <w:rFonts w:ascii="Arial" w:cs="Arial" w:eastAsia="Arial" w:hAnsi="Arial"/>
          <w:sz w:val="17"/>
          <w:szCs w:val="17"/>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documents are filed as exhibits hereto: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1064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064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Exhibit Description</w:t>
            </w:r>
          </w:p>
        </w:tc>
      </w:tr>
      <w:tr>
        <w:trPr>
          <w:trHeight w:val="209"/>
        </w:trPr>
        <w:tc>
          <w:tcPr>
            <w:tcW w:w="6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Separation and Distribution Agreement by and between Abbott Laboratories and AbbVie Inc.**</w:t>
            </w:r>
          </w:p>
        </w:tc>
      </w:tr>
      <w:tr>
        <w:trPr>
          <w:trHeight w:val="437"/>
        </w:trPr>
        <w:tc>
          <w:tcPr>
            <w:tcW w:w="62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By-Laws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Ex-U.S.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Tax Sharing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Special Products Master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Employee Matters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International Commercial Operations Agreement by and between Abbott Laboratories and AbbVie Inc.†</w:t>
            </w:r>
          </w:p>
        </w:tc>
      </w:tr>
      <w:tr>
        <w:trPr>
          <w:trHeight w:val="440"/>
        </w:trPr>
        <w:tc>
          <w:tcPr>
            <w:tcW w:w="620" w:type="dxa"/>
            <w:vAlign w:val="bottom"/>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w w:val="92"/>
              </w:rPr>
              <w:t>Form of Luxembourg International Commercial Operations Agreement by and between Abbott Investments Luxembourg S.à.r.l. and AbbVie Investments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S.à.r.l.†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Information Technology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Intentionally Omitted</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Transitional Trademark License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Finished Goods Supply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Contract Manufacturing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Agreement Regarding Change in Control*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2013 Incentive Stock Program†</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2013 Management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2013 Performance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Deferred Compensation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Non-Employee Directors' Fee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Supplemental Pension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Supplemental Savings Plan†</w:t>
            </w:r>
          </w:p>
        </w:tc>
      </w:tr>
      <w:tr>
        <w:trPr>
          <w:trHeight w:val="117"/>
        </w:trPr>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19685</wp:posOffset>
            </wp:positionV>
            <wp:extent cx="675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957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40" w:space="720"/>
            <w:col w:w="4659"/>
          </w:cols>
          <w:pgMar w:left="240" w:top="127" w:right="1440" w:bottom="1440" w:gutter="0" w:footer="0" w:header="0"/>
        </w:sectPr>
      </w:pPr>
    </w:p>
    <w:p>
      <w:pPr>
        <w:ind w:left="320"/>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Information Statement of AbbVie Inc., preliminary and subject to completion, dated October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189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32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type w:val="continuous"/>
        </w:sectPr>
      </w:pPr>
    </w:p>
    <w:bookmarkStart w:id="5" w:name="page6"/>
    <w:bookmarkEnd w:id="5"/>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ABBVIE INC.</w:t>
      </w:r>
    </w:p>
    <w:p>
      <w:pPr>
        <w:spacing w:after="0" w:line="250"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7"/>
          <w:szCs w:val="17"/>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73025</wp:posOffset>
            </wp:positionV>
            <wp:extent cx="3238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Name:</w:t>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 Chief Executive Officer</w:t>
      </w:r>
    </w:p>
    <w:p>
      <w:pPr>
        <w:spacing w:after="0" w:line="222" w:lineRule="exact"/>
        <w:rPr>
          <w:sz w:val="20"/>
          <w:szCs w:val="20"/>
          <w:color w:val="auto"/>
        </w:rPr>
      </w:pPr>
    </w:p>
    <w:p>
      <w:pPr>
        <w:sectPr>
          <w:pgSz w:w="11900" w:h="16838" w:orient="portrait"/>
          <w:cols w:equalWidth="0" w:num="2">
            <w:col w:w="6800" w:space="300"/>
            <w:col w:w="4060"/>
          </w:cols>
          <w:pgMar w:left="240" w:top="337"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October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ABBVIE INC.</w:t>
        </w:r>
      </w:hyperlink>
    </w:p>
    <w:p>
      <w:pPr>
        <w:spacing w:after="0" w:line="20" w:lineRule="exact"/>
        <w:rPr>
          <w:sz w:val="20"/>
          <w:szCs w:val="20"/>
          <w:color w:val="auto"/>
        </w:rPr>
      </w:pPr>
    </w:p>
    <w:p>
      <w:pPr>
        <w:spacing w:after="0" w:line="275" w:lineRule="auto"/>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INFORMATION REQUIRED IN REGISTRATION STATEMENT CROSS-REFERENCE SHEET BETWEEN INFORMATION STATEMENT AND ITEMS OF</w:t>
        </w:r>
      </w:hyperlink>
      <w:r>
        <w:rPr>
          <w:rFonts w:ascii="Arial" w:cs="Arial" w:eastAsia="Arial" w:hAnsi="Arial"/>
          <w:sz w:val="17"/>
          <w:szCs w:val="17"/>
          <w:u w:val="single" w:color="auto"/>
          <w:color w:val="0000EE"/>
        </w:rPr>
        <w:t xml:space="preserve"> </w:t>
      </w:r>
      <w:hyperlink w:anchor="page2">
        <w:r>
          <w:rPr>
            <w:rFonts w:ascii="Arial" w:cs="Arial" w:eastAsia="Arial" w:hAnsi="Arial"/>
            <w:sz w:val="17"/>
            <w:szCs w:val="17"/>
            <w:u w:val="single" w:color="auto"/>
            <w:color w:val="0000EE"/>
          </w:rPr>
          <w:t>FORM 10</w:t>
        </w:r>
      </w:hyperlink>
    </w:p>
    <w:p>
      <w:pPr>
        <w:spacing w:after="0" w:line="175"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 Business.</w:t>
        </w:r>
      </w:hyperlink>
    </w:p>
    <w:p>
      <w:pPr>
        <w:spacing w:after="0" w:line="20"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1A. Risk Factors.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2. Financial Information.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3. Properties.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4. Security Ownership of Certain Beneficial Owners and Management.</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5. Directors and Executive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6. Executive Compensation.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7. Certain Relationships and Related Transactions.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8. Legal Proceedings.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9. Market Price of, and Dividends on, the Registrant's Common Equity and Related Stockholder Matters.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10. Recent Sales of Unregistered Securities.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11. Description of Registrant's Securities to be Registered.</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12. Indemnification of Directors and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13. Financial Statements and Supplementary Data.</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14. Changes in and Disagreements with Accountants on Accounting and Financial Disclosure.</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15. Financial Statements and Exhibits.</w:t>
        </w:r>
      </w:hyperlink>
    </w:p>
    <w:p>
      <w:pPr>
        <w:spacing w:after="0" w:line="218" w:lineRule="exact"/>
        <w:rPr>
          <w:sz w:val="20"/>
          <w:szCs w:val="20"/>
          <w:color w:val="auto"/>
        </w:rPr>
      </w:pPr>
    </w:p>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SIGNATURES</w:t>
        </w:r>
      </w:hyperlink>
    </w:p>
    <w:p>
      <w:pPr>
        <w:sectPr>
          <w:pgSz w:w="11900" w:h="16838" w:orient="portrait"/>
          <w:cols w:equalWidth="0" w:num="1">
            <w:col w:w="11100"/>
          </w:cols>
          <w:pgMar w:left="240" w:top="800" w:right="559" w:bottom="1440" w:gutter="0" w:footer="0" w:header="0"/>
        </w:sectPr>
      </w:pPr>
    </w:p>
    <w:bookmarkStart w:id="7" w:name="page8"/>
    <w:bookmarkEnd w:id="7"/>
    <w:p>
      <w:pPr>
        <w:ind w:left="10600"/>
        <w:spacing w:after="0"/>
        <w:rPr>
          <w:sz w:val="20"/>
          <w:szCs w:val="20"/>
          <w:color w:val="auto"/>
        </w:rPr>
      </w:pPr>
      <w:r>
        <w:rPr>
          <w:rFonts w:ascii="Arial" w:cs="Arial" w:eastAsia="Arial" w:hAnsi="Arial"/>
          <w:sz w:val="17"/>
          <w:szCs w:val="17"/>
          <w:b w:val="1"/>
          <w:bCs w:val="1"/>
          <w:color w:val="auto"/>
        </w:rPr>
        <w:t>Exhibit 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8860" w:type="dxa"/>
            <w:vAlign w:val="bottom"/>
          </w:tcPr>
          <w:p>
            <w:pPr>
              <w:jc w:val="center"/>
              <w:ind w:right="1413"/>
              <w:spacing w:after="0"/>
              <w:rPr>
                <w:sz w:val="20"/>
                <w:szCs w:val="20"/>
                <w:color w:val="auto"/>
              </w:rPr>
            </w:pPr>
            <w:r>
              <w:rPr>
                <w:rFonts w:ascii="Arial" w:cs="Arial" w:eastAsia="Arial" w:hAnsi="Arial"/>
                <w:sz w:val="17"/>
                <w:szCs w:val="17"/>
                <w:color w:val="auto"/>
                <w:w w:val="96"/>
              </w:rPr>
              <w:t>FORM OF</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w w:val="99"/>
              </w:rPr>
              <w:t>SEPARATION AND DISTRIBUTION AGREEMENT</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rPr>
              <w:t>BY AND BETWEEN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rPr>
              <w:t>ABBOTT LABORATORIES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rPr>
              <w:t>AND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13"/>
              <w:spacing w:after="0"/>
              <w:rPr>
                <w:sz w:val="20"/>
                <w:szCs w:val="20"/>
                <w:color w:val="auto"/>
              </w:rPr>
            </w:pPr>
            <w:r>
              <w:rPr>
                <w:rFonts w:ascii="Arial" w:cs="Arial" w:eastAsia="Arial" w:hAnsi="Arial"/>
                <w:sz w:val="17"/>
                <w:szCs w:val="17"/>
                <w:color w:val="auto"/>
              </w:rPr>
              <w:t>ABBVIE INC.</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w w:val="96"/>
              </w:rPr>
              <w:t>DATED AS OF [·], 2012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2040" w:type="dxa"/>
            <w:vAlign w:val="bottom"/>
            <w:tcBorders>
              <w:bottom w:val="single" w:sz="8" w:color="010101"/>
            </w:tcBorders>
          </w:tcPr>
          <w:p>
            <w:pPr>
              <w:spacing w:after="0"/>
              <w:rPr>
                <w:sz w:val="24"/>
                <w:szCs w:val="24"/>
                <w:color w:val="auto"/>
              </w:rPr>
            </w:pPr>
          </w:p>
        </w:tc>
        <w:tc>
          <w:tcPr>
            <w:tcW w:w="88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204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2040" w:type="dxa"/>
            <w:vAlign w:val="bottom"/>
          </w:tcPr>
          <w:p>
            <w:pPr>
              <w:spacing w:after="0"/>
              <w:rPr>
                <w:sz w:val="20"/>
                <w:szCs w:val="20"/>
                <w:color w:val="auto"/>
              </w:rPr>
            </w:pPr>
            <w:r>
              <w:rPr>
                <w:rFonts w:ascii="Arial" w:cs="Arial" w:eastAsia="Arial" w:hAnsi="Arial"/>
                <w:sz w:val="17"/>
                <w:szCs w:val="17"/>
                <w:color w:val="auto"/>
              </w:rPr>
              <w:t>ARTICLE I DEFINITIONS</w:t>
            </w:r>
          </w:p>
        </w:tc>
        <w:tc>
          <w:tcPr>
            <w:tcW w:w="88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2040" w:type="dxa"/>
            <w:vAlign w:val="bottom"/>
          </w:tcPr>
          <w:p>
            <w:pPr>
              <w:ind w:left="360"/>
              <w:spacing w:after="0"/>
              <w:rPr>
                <w:sz w:val="20"/>
                <w:szCs w:val="20"/>
                <w:color w:val="auto"/>
              </w:rPr>
            </w:pPr>
            <w:r>
              <w:rPr>
                <w:rFonts w:ascii="Arial" w:cs="Arial" w:eastAsia="Arial" w:hAnsi="Arial"/>
                <w:sz w:val="17"/>
                <w:szCs w:val="17"/>
                <w:color w:val="auto"/>
              </w:rPr>
              <w:t>Section 1.01.</w:t>
            </w:r>
          </w:p>
        </w:tc>
        <w:tc>
          <w:tcPr>
            <w:tcW w:w="8860" w:type="dxa"/>
            <w:vAlign w:val="bottom"/>
          </w:tcPr>
          <w:p>
            <w:pPr>
              <w:ind w:left="80"/>
              <w:spacing w:after="0"/>
              <w:rPr>
                <w:sz w:val="20"/>
                <w:szCs w:val="20"/>
                <w:color w:val="auto"/>
              </w:rPr>
            </w:pPr>
            <w:r>
              <w:rPr>
                <w:rFonts w:ascii="Arial" w:cs="Arial" w:eastAsia="Arial" w:hAnsi="Arial"/>
                <w:sz w:val="17"/>
                <w:szCs w:val="17"/>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 THE SEPARATION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08"/>
        </w:trPr>
        <w:tc>
          <w:tcPr>
            <w:tcW w:w="2040" w:type="dxa"/>
            <w:vAlign w:val="bottom"/>
          </w:tcPr>
          <w:p>
            <w:pPr>
              <w:ind w:left="360"/>
              <w:spacing w:after="0"/>
              <w:rPr>
                <w:sz w:val="20"/>
                <w:szCs w:val="20"/>
                <w:color w:val="auto"/>
              </w:rPr>
            </w:pPr>
            <w:r>
              <w:rPr>
                <w:rFonts w:ascii="Arial" w:cs="Arial" w:eastAsia="Arial" w:hAnsi="Arial"/>
                <w:sz w:val="17"/>
                <w:szCs w:val="17"/>
                <w:color w:val="auto"/>
              </w:rPr>
              <w:t>Section 2.01.</w:t>
            </w:r>
          </w:p>
        </w:tc>
        <w:tc>
          <w:tcPr>
            <w:tcW w:w="8860" w:type="dxa"/>
            <w:vAlign w:val="bottom"/>
          </w:tcPr>
          <w:p>
            <w:pPr>
              <w:ind w:left="80"/>
              <w:spacing w:after="0"/>
              <w:rPr>
                <w:sz w:val="20"/>
                <w:szCs w:val="20"/>
                <w:color w:val="auto"/>
              </w:rPr>
            </w:pPr>
            <w:r>
              <w:rPr>
                <w:rFonts w:ascii="Arial" w:cs="Arial" w:eastAsia="Arial" w:hAnsi="Arial"/>
                <w:sz w:val="17"/>
                <w:szCs w:val="17"/>
                <w:color w:val="auto"/>
              </w:rPr>
              <w:t>Formation of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2.02.</w:t>
            </w:r>
          </w:p>
        </w:tc>
        <w:tc>
          <w:tcPr>
            <w:tcW w:w="8860" w:type="dxa"/>
            <w:vAlign w:val="bottom"/>
          </w:tcPr>
          <w:p>
            <w:pPr>
              <w:ind w:left="80"/>
              <w:spacing w:after="0"/>
              <w:rPr>
                <w:sz w:val="20"/>
                <w:szCs w:val="20"/>
                <w:color w:val="auto"/>
              </w:rPr>
            </w:pPr>
            <w:r>
              <w:rPr>
                <w:rFonts w:ascii="Arial" w:cs="Arial" w:eastAsia="Arial" w:hAnsi="Arial"/>
                <w:sz w:val="17"/>
                <w:szCs w:val="17"/>
                <w:color w:val="auto"/>
              </w:rPr>
              <w:t>The Separation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2.03.</w:t>
            </w:r>
          </w:p>
        </w:tc>
        <w:tc>
          <w:tcPr>
            <w:tcW w:w="8860" w:type="dxa"/>
            <w:vAlign w:val="bottom"/>
          </w:tcPr>
          <w:p>
            <w:pPr>
              <w:ind w:left="80"/>
              <w:spacing w:after="0"/>
              <w:rPr>
                <w:sz w:val="20"/>
                <w:szCs w:val="20"/>
                <w:color w:val="auto"/>
              </w:rPr>
            </w:pPr>
            <w:r>
              <w:rPr>
                <w:rFonts w:ascii="Arial" w:cs="Arial" w:eastAsia="Arial" w:hAnsi="Arial"/>
                <w:sz w:val="17"/>
                <w:szCs w:val="17"/>
                <w:color w:val="auto"/>
              </w:rPr>
              <w:t>Deferred AbbVie Local Closings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2.04.</w:t>
            </w:r>
          </w:p>
        </w:tc>
        <w:tc>
          <w:tcPr>
            <w:tcW w:w="8860" w:type="dxa"/>
            <w:vAlign w:val="bottom"/>
          </w:tcPr>
          <w:p>
            <w:pPr>
              <w:ind w:left="80"/>
              <w:spacing w:after="0"/>
              <w:rPr>
                <w:sz w:val="20"/>
                <w:szCs w:val="20"/>
                <w:color w:val="auto"/>
              </w:rPr>
            </w:pPr>
            <w:r>
              <w:rPr>
                <w:rFonts w:ascii="Arial" w:cs="Arial" w:eastAsia="Arial" w:hAnsi="Arial"/>
                <w:sz w:val="17"/>
                <w:szCs w:val="17"/>
                <w:color w:val="auto"/>
              </w:rPr>
              <w:t>Delayed Transfers of AbbVie Assets and AbbVie Liabilities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2.05.</w:t>
            </w:r>
          </w:p>
        </w:tc>
        <w:tc>
          <w:tcPr>
            <w:tcW w:w="8860" w:type="dxa"/>
            <w:vAlign w:val="bottom"/>
          </w:tcPr>
          <w:p>
            <w:pPr>
              <w:ind w:left="80"/>
              <w:spacing w:after="0"/>
              <w:rPr>
                <w:sz w:val="20"/>
                <w:szCs w:val="20"/>
                <w:color w:val="auto"/>
              </w:rPr>
            </w:pPr>
            <w:r>
              <w:rPr>
                <w:rFonts w:ascii="Arial" w:cs="Arial" w:eastAsia="Arial" w:hAnsi="Arial"/>
                <w:sz w:val="17"/>
                <w:szCs w:val="17"/>
                <w:color w:val="auto"/>
              </w:rPr>
              <w:t>Delayed Transfers of Abbott Assets and Abbott Liabilities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2.06.</w:t>
            </w:r>
          </w:p>
        </w:tc>
        <w:tc>
          <w:tcPr>
            <w:tcW w:w="8860" w:type="dxa"/>
            <w:vAlign w:val="bottom"/>
          </w:tcPr>
          <w:p>
            <w:pPr>
              <w:ind w:left="80"/>
              <w:spacing w:after="0"/>
              <w:rPr>
                <w:sz w:val="20"/>
                <w:szCs w:val="20"/>
                <w:color w:val="auto"/>
              </w:rPr>
            </w:pPr>
            <w:r>
              <w:rPr>
                <w:rFonts w:ascii="Arial" w:cs="Arial" w:eastAsia="Arial" w:hAnsi="Arial"/>
                <w:sz w:val="17"/>
                <w:szCs w:val="17"/>
                <w:color w:val="auto"/>
              </w:rPr>
              <w:t>Ancillary Agreements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2.07.</w:t>
            </w:r>
          </w:p>
        </w:tc>
        <w:tc>
          <w:tcPr>
            <w:tcW w:w="8860" w:type="dxa"/>
            <w:vAlign w:val="bottom"/>
          </w:tcPr>
          <w:p>
            <w:pPr>
              <w:ind w:left="80"/>
              <w:spacing w:after="0"/>
              <w:rPr>
                <w:sz w:val="20"/>
                <w:szCs w:val="20"/>
                <w:color w:val="auto"/>
              </w:rPr>
            </w:pPr>
            <w:r>
              <w:rPr>
                <w:rFonts w:ascii="Arial" w:cs="Arial" w:eastAsia="Arial" w:hAnsi="Arial"/>
                <w:sz w:val="17"/>
                <w:szCs w:val="17"/>
                <w:color w:val="auto"/>
              </w:rPr>
              <w:t>Disclaimer of Representations and Warranties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2.08.</w:t>
            </w:r>
          </w:p>
        </w:tc>
        <w:tc>
          <w:tcPr>
            <w:tcW w:w="8860" w:type="dxa"/>
            <w:vAlign w:val="bottom"/>
          </w:tcPr>
          <w:p>
            <w:pPr>
              <w:ind w:left="80"/>
              <w:spacing w:after="0"/>
              <w:rPr>
                <w:sz w:val="20"/>
                <w:szCs w:val="20"/>
                <w:color w:val="auto"/>
              </w:rPr>
            </w:pPr>
            <w:r>
              <w:rPr>
                <w:rFonts w:ascii="Arial" w:cs="Arial" w:eastAsia="Arial" w:hAnsi="Arial"/>
                <w:sz w:val="17"/>
                <w:szCs w:val="17"/>
                <w:color w:val="auto"/>
              </w:rPr>
              <w:t>Credit Facilities; Financing Arrangements; AbbVie Cash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2.09.</w:t>
            </w:r>
          </w:p>
        </w:tc>
        <w:tc>
          <w:tcPr>
            <w:tcW w:w="8860" w:type="dxa"/>
            <w:vAlign w:val="bottom"/>
          </w:tcPr>
          <w:p>
            <w:pPr>
              <w:ind w:left="80"/>
              <w:spacing w:after="0"/>
              <w:rPr>
                <w:sz w:val="20"/>
                <w:szCs w:val="20"/>
                <w:color w:val="auto"/>
              </w:rPr>
            </w:pPr>
            <w:r>
              <w:rPr>
                <w:rFonts w:ascii="Arial" w:cs="Arial" w:eastAsia="Arial" w:hAnsi="Arial"/>
                <w:sz w:val="17"/>
                <w:szCs w:val="17"/>
                <w:color w:val="auto"/>
              </w:rPr>
              <w:t>Termination of Agreements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2.10.</w:t>
            </w:r>
          </w:p>
        </w:tc>
        <w:tc>
          <w:tcPr>
            <w:tcW w:w="8860" w:type="dxa"/>
            <w:vAlign w:val="bottom"/>
          </w:tcPr>
          <w:p>
            <w:pPr>
              <w:ind w:left="80"/>
              <w:spacing w:after="0"/>
              <w:rPr>
                <w:sz w:val="20"/>
                <w:szCs w:val="20"/>
                <w:color w:val="auto"/>
              </w:rPr>
            </w:pPr>
            <w:r>
              <w:rPr>
                <w:rFonts w:ascii="Arial" w:cs="Arial" w:eastAsia="Arial" w:hAnsi="Arial"/>
                <w:sz w:val="17"/>
                <w:szCs w:val="17"/>
                <w:color w:val="auto"/>
              </w:rPr>
              <w:t>Settlement of Accounts between Abbott and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2.11.</w:t>
            </w:r>
          </w:p>
        </w:tc>
        <w:tc>
          <w:tcPr>
            <w:tcW w:w="8860" w:type="dxa"/>
            <w:vAlign w:val="bottom"/>
          </w:tcPr>
          <w:p>
            <w:pPr>
              <w:ind w:left="80"/>
              <w:spacing w:after="0"/>
              <w:rPr>
                <w:sz w:val="20"/>
                <w:szCs w:val="20"/>
                <w:color w:val="auto"/>
              </w:rPr>
            </w:pPr>
            <w:r>
              <w:rPr>
                <w:rFonts w:ascii="Arial" w:cs="Arial" w:eastAsia="Arial" w:hAnsi="Arial"/>
                <w:sz w:val="17"/>
                <w:szCs w:val="17"/>
                <w:color w:val="auto"/>
              </w:rPr>
              <w:t>Novation of Liabilities; Release of Guarantees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2.12.</w:t>
            </w:r>
          </w:p>
        </w:tc>
        <w:tc>
          <w:tcPr>
            <w:tcW w:w="8860" w:type="dxa"/>
            <w:vAlign w:val="bottom"/>
          </w:tcPr>
          <w:p>
            <w:pPr>
              <w:ind w:left="80"/>
              <w:spacing w:after="0"/>
              <w:rPr>
                <w:sz w:val="20"/>
                <w:szCs w:val="20"/>
                <w:color w:val="auto"/>
              </w:rPr>
            </w:pPr>
            <w:r>
              <w:rPr>
                <w:rFonts w:ascii="Arial" w:cs="Arial" w:eastAsia="Arial" w:hAnsi="Arial"/>
                <w:sz w:val="17"/>
                <w:szCs w:val="17"/>
                <w:color w:val="auto"/>
              </w:rPr>
              <w:t>Mixed Contracts; Mixed Accounts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2.13.</w:t>
            </w:r>
          </w:p>
        </w:tc>
        <w:tc>
          <w:tcPr>
            <w:tcW w:w="8860" w:type="dxa"/>
            <w:vAlign w:val="bottom"/>
          </w:tcPr>
          <w:p>
            <w:pPr>
              <w:ind w:left="80"/>
              <w:spacing w:after="0"/>
              <w:rPr>
                <w:sz w:val="20"/>
                <w:szCs w:val="20"/>
                <w:color w:val="auto"/>
              </w:rPr>
            </w:pPr>
            <w:r>
              <w:rPr>
                <w:rFonts w:ascii="Arial" w:cs="Arial" w:eastAsia="Arial" w:hAnsi="Arial"/>
                <w:sz w:val="17"/>
                <w:szCs w:val="17"/>
                <w:color w:val="auto"/>
              </w:rPr>
              <w:t>Further Assurances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2.14.</w:t>
            </w:r>
          </w:p>
        </w:tc>
        <w:tc>
          <w:tcPr>
            <w:tcW w:w="8860" w:type="dxa"/>
            <w:vAlign w:val="bottom"/>
          </w:tcPr>
          <w:p>
            <w:pPr>
              <w:ind w:left="80"/>
              <w:spacing w:after="0"/>
              <w:rPr>
                <w:sz w:val="20"/>
                <w:szCs w:val="20"/>
                <w:color w:val="auto"/>
              </w:rPr>
            </w:pPr>
            <w:r>
              <w:rPr>
                <w:rFonts w:ascii="Arial" w:cs="Arial" w:eastAsia="Arial" w:hAnsi="Arial"/>
                <w:sz w:val="17"/>
                <w:szCs w:val="17"/>
                <w:color w:val="auto"/>
              </w:rPr>
              <w:t>Transition Committee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222"/>
        </w:trPr>
        <w:tc>
          <w:tcPr>
            <w:tcW w:w="2040" w:type="dxa"/>
            <w:vAlign w:val="bottom"/>
          </w:tcPr>
          <w:p>
            <w:pPr>
              <w:ind w:left="360"/>
              <w:spacing w:after="0"/>
              <w:rPr>
                <w:sz w:val="20"/>
                <w:szCs w:val="20"/>
                <w:color w:val="auto"/>
              </w:rPr>
            </w:pPr>
            <w:r>
              <w:rPr>
                <w:rFonts w:ascii="Arial" w:cs="Arial" w:eastAsia="Arial" w:hAnsi="Arial"/>
                <w:sz w:val="17"/>
                <w:szCs w:val="17"/>
                <w:color w:val="auto"/>
              </w:rPr>
              <w:t>Section 2.15.</w:t>
            </w:r>
          </w:p>
        </w:tc>
        <w:tc>
          <w:tcPr>
            <w:tcW w:w="8860" w:type="dxa"/>
            <w:vAlign w:val="bottom"/>
          </w:tcPr>
          <w:p>
            <w:pPr>
              <w:ind w:left="80"/>
              <w:spacing w:after="0"/>
              <w:rPr>
                <w:sz w:val="20"/>
                <w:szCs w:val="20"/>
                <w:color w:val="auto"/>
              </w:rPr>
            </w:pPr>
            <w:r>
              <w:rPr>
                <w:rFonts w:ascii="Arial" w:cs="Arial" w:eastAsia="Arial" w:hAnsi="Arial"/>
                <w:sz w:val="17"/>
                <w:szCs w:val="17"/>
                <w:color w:val="auto"/>
              </w:rPr>
              <w:t>Accounting for Deferred Taxes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III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08"/>
        </w:trPr>
        <w:tc>
          <w:tcPr>
            <w:tcW w:w="2040" w:type="dxa"/>
            <w:vAlign w:val="bottom"/>
          </w:tcPr>
          <w:p>
            <w:pPr>
              <w:ind w:left="360"/>
              <w:spacing w:after="0"/>
              <w:rPr>
                <w:sz w:val="20"/>
                <w:szCs w:val="20"/>
                <w:color w:val="auto"/>
              </w:rPr>
            </w:pPr>
            <w:r>
              <w:rPr>
                <w:rFonts w:ascii="Arial" w:cs="Arial" w:eastAsia="Arial" w:hAnsi="Arial"/>
                <w:sz w:val="17"/>
                <w:szCs w:val="17"/>
                <w:color w:val="auto"/>
              </w:rPr>
              <w:t>Section 3.01.</w:t>
            </w:r>
          </w:p>
        </w:tc>
        <w:tc>
          <w:tcPr>
            <w:tcW w:w="8860" w:type="dxa"/>
            <w:vAlign w:val="bottom"/>
          </w:tcPr>
          <w:p>
            <w:pPr>
              <w:ind w:left="80"/>
              <w:spacing w:after="0"/>
              <w:rPr>
                <w:sz w:val="20"/>
                <w:szCs w:val="20"/>
                <w:color w:val="auto"/>
              </w:rPr>
            </w:pPr>
            <w:r>
              <w:rPr>
                <w:rFonts w:ascii="Arial" w:cs="Arial" w:eastAsia="Arial" w:hAnsi="Arial"/>
                <w:sz w:val="17"/>
                <w:szCs w:val="17"/>
                <w:color w:val="auto"/>
              </w:rPr>
              <w:t>Actions Prior to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3.02.</w:t>
            </w:r>
          </w:p>
        </w:tc>
        <w:tc>
          <w:tcPr>
            <w:tcW w:w="8860" w:type="dxa"/>
            <w:vAlign w:val="bottom"/>
          </w:tcPr>
          <w:p>
            <w:pPr>
              <w:ind w:left="80"/>
              <w:spacing w:after="0"/>
              <w:rPr>
                <w:sz w:val="20"/>
                <w:szCs w:val="20"/>
                <w:color w:val="auto"/>
              </w:rPr>
            </w:pPr>
            <w:r>
              <w:rPr>
                <w:rFonts w:ascii="Arial" w:cs="Arial" w:eastAsia="Arial" w:hAnsi="Arial"/>
                <w:sz w:val="17"/>
                <w:szCs w:val="17"/>
                <w:color w:val="auto"/>
              </w:rPr>
              <w:t>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3.03.</w:t>
            </w:r>
          </w:p>
        </w:tc>
        <w:tc>
          <w:tcPr>
            <w:tcW w:w="8860" w:type="dxa"/>
            <w:vAlign w:val="bottom"/>
          </w:tcPr>
          <w:p>
            <w:pPr>
              <w:ind w:left="80"/>
              <w:spacing w:after="0"/>
              <w:rPr>
                <w:sz w:val="20"/>
                <w:szCs w:val="20"/>
                <w:color w:val="auto"/>
              </w:rPr>
            </w:pPr>
            <w:r>
              <w:rPr>
                <w:rFonts w:ascii="Arial" w:cs="Arial" w:eastAsia="Arial" w:hAnsi="Arial"/>
                <w:sz w:val="17"/>
                <w:szCs w:val="17"/>
                <w:color w:val="auto"/>
              </w:rPr>
              <w:t>Fractional Shares; Unclaimed Shares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3.04.</w:t>
            </w:r>
          </w:p>
        </w:tc>
        <w:tc>
          <w:tcPr>
            <w:tcW w:w="8860" w:type="dxa"/>
            <w:vAlign w:val="bottom"/>
          </w:tcPr>
          <w:p>
            <w:pPr>
              <w:ind w:left="80"/>
              <w:spacing w:after="0"/>
              <w:rPr>
                <w:sz w:val="20"/>
                <w:szCs w:val="20"/>
                <w:color w:val="auto"/>
              </w:rPr>
            </w:pPr>
            <w:r>
              <w:rPr>
                <w:rFonts w:ascii="Arial" w:cs="Arial" w:eastAsia="Arial" w:hAnsi="Arial"/>
                <w:sz w:val="17"/>
                <w:szCs w:val="17"/>
                <w:color w:val="auto"/>
              </w:rPr>
              <w:t>Sole Discretion of Abbott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22"/>
        </w:trPr>
        <w:tc>
          <w:tcPr>
            <w:tcW w:w="2040" w:type="dxa"/>
            <w:vAlign w:val="bottom"/>
          </w:tcPr>
          <w:p>
            <w:pPr>
              <w:ind w:left="360"/>
              <w:spacing w:after="0"/>
              <w:rPr>
                <w:sz w:val="20"/>
                <w:szCs w:val="20"/>
                <w:color w:val="auto"/>
              </w:rPr>
            </w:pPr>
            <w:r>
              <w:rPr>
                <w:rFonts w:ascii="Arial" w:cs="Arial" w:eastAsia="Arial" w:hAnsi="Arial"/>
                <w:sz w:val="17"/>
                <w:szCs w:val="17"/>
                <w:color w:val="auto"/>
              </w:rPr>
              <w:t>Section 3.05.</w:t>
            </w:r>
          </w:p>
        </w:tc>
        <w:tc>
          <w:tcPr>
            <w:tcW w:w="8860" w:type="dxa"/>
            <w:vAlign w:val="bottom"/>
          </w:tcPr>
          <w:p>
            <w:pPr>
              <w:ind w:left="80"/>
              <w:spacing w:after="0"/>
              <w:rPr>
                <w:sz w:val="20"/>
                <w:szCs w:val="20"/>
                <w:color w:val="auto"/>
              </w:rPr>
            </w:pPr>
            <w:r>
              <w:rPr>
                <w:rFonts w:ascii="Arial" w:cs="Arial" w:eastAsia="Arial" w:hAnsi="Arial"/>
                <w:sz w:val="17"/>
                <w:szCs w:val="17"/>
                <w:color w:val="auto"/>
              </w:rPr>
              <w:t>Conditions to the Distribution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10900" w:type="dxa"/>
            <w:vAlign w:val="bottom"/>
            <w:gridSpan w:val="2"/>
          </w:tcPr>
          <w:p>
            <w:pPr>
              <w:spacing w:after="0"/>
              <w:rPr>
                <w:sz w:val="20"/>
                <w:szCs w:val="20"/>
                <w:color w:val="auto"/>
              </w:rPr>
            </w:pPr>
            <w:r>
              <w:rPr>
                <w:rFonts w:ascii="Arial" w:cs="Arial" w:eastAsia="Arial" w:hAnsi="Arial"/>
                <w:sz w:val="17"/>
                <w:szCs w:val="17"/>
                <w:color w:val="auto"/>
              </w:rPr>
              <w:t>ARTICLE IV MUTUAL RELEASES; INDEMNIFICATION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408"/>
        </w:trPr>
        <w:tc>
          <w:tcPr>
            <w:tcW w:w="2040" w:type="dxa"/>
            <w:vAlign w:val="bottom"/>
          </w:tcPr>
          <w:p>
            <w:pPr>
              <w:ind w:left="360"/>
              <w:spacing w:after="0"/>
              <w:rPr>
                <w:sz w:val="20"/>
                <w:szCs w:val="20"/>
                <w:color w:val="auto"/>
              </w:rPr>
            </w:pPr>
            <w:r>
              <w:rPr>
                <w:rFonts w:ascii="Arial" w:cs="Arial" w:eastAsia="Arial" w:hAnsi="Arial"/>
                <w:sz w:val="17"/>
                <w:szCs w:val="17"/>
                <w:color w:val="auto"/>
              </w:rPr>
              <w:t>Section 4.01.</w:t>
            </w:r>
          </w:p>
        </w:tc>
        <w:tc>
          <w:tcPr>
            <w:tcW w:w="8860" w:type="dxa"/>
            <w:vAlign w:val="bottom"/>
          </w:tcPr>
          <w:p>
            <w:pPr>
              <w:ind w:left="80"/>
              <w:spacing w:after="0"/>
              <w:rPr>
                <w:sz w:val="20"/>
                <w:szCs w:val="20"/>
                <w:color w:val="auto"/>
              </w:rPr>
            </w:pPr>
            <w:r>
              <w:rPr>
                <w:rFonts w:ascii="Arial" w:cs="Arial" w:eastAsia="Arial" w:hAnsi="Arial"/>
                <w:sz w:val="17"/>
                <w:szCs w:val="17"/>
                <w:color w:val="auto"/>
              </w:rPr>
              <w:t>Releases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4.02.</w:t>
            </w:r>
          </w:p>
        </w:tc>
        <w:tc>
          <w:tcPr>
            <w:tcW w:w="8860" w:type="dxa"/>
            <w:vAlign w:val="bottom"/>
          </w:tcPr>
          <w:p>
            <w:pPr>
              <w:ind w:left="80"/>
              <w:spacing w:after="0"/>
              <w:rPr>
                <w:sz w:val="20"/>
                <w:szCs w:val="20"/>
                <w:color w:val="auto"/>
              </w:rPr>
            </w:pPr>
            <w:r>
              <w:rPr>
                <w:rFonts w:ascii="Arial" w:cs="Arial" w:eastAsia="Arial" w:hAnsi="Arial"/>
                <w:sz w:val="17"/>
                <w:szCs w:val="17"/>
                <w:color w:val="auto"/>
              </w:rPr>
              <w:t>Indemnification by AbbVie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4.03.</w:t>
            </w:r>
          </w:p>
        </w:tc>
        <w:tc>
          <w:tcPr>
            <w:tcW w:w="8860" w:type="dxa"/>
            <w:vAlign w:val="bottom"/>
          </w:tcPr>
          <w:p>
            <w:pPr>
              <w:ind w:left="80"/>
              <w:spacing w:after="0"/>
              <w:rPr>
                <w:sz w:val="20"/>
                <w:szCs w:val="20"/>
                <w:color w:val="auto"/>
              </w:rPr>
            </w:pPr>
            <w:r>
              <w:rPr>
                <w:rFonts w:ascii="Arial" w:cs="Arial" w:eastAsia="Arial" w:hAnsi="Arial"/>
                <w:sz w:val="17"/>
                <w:szCs w:val="17"/>
                <w:color w:val="auto"/>
              </w:rPr>
              <w:t>Indemnification by Abbott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4.04.</w:t>
            </w:r>
          </w:p>
        </w:tc>
        <w:tc>
          <w:tcPr>
            <w:tcW w:w="8860" w:type="dxa"/>
            <w:vAlign w:val="bottom"/>
          </w:tcPr>
          <w:p>
            <w:pPr>
              <w:ind w:left="8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4.05.</w:t>
            </w:r>
          </w:p>
        </w:tc>
        <w:tc>
          <w:tcPr>
            <w:tcW w:w="8860" w:type="dxa"/>
            <w:vAlign w:val="bottom"/>
          </w:tcPr>
          <w:p>
            <w:pPr>
              <w:ind w:left="80"/>
              <w:spacing w:after="0"/>
              <w:rPr>
                <w:sz w:val="20"/>
                <w:szCs w:val="20"/>
                <w:color w:val="auto"/>
              </w:rPr>
            </w:pPr>
            <w:r>
              <w:rPr>
                <w:rFonts w:ascii="Arial" w:cs="Arial" w:eastAsia="Arial" w:hAnsi="Arial"/>
                <w:sz w:val="17"/>
                <w:szCs w:val="17"/>
                <w:color w:val="auto"/>
              </w:rPr>
              <w:t>Procedures for Indemnification of Third Party Claims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4.06.</w:t>
            </w:r>
          </w:p>
        </w:tc>
        <w:tc>
          <w:tcPr>
            <w:tcW w:w="8860" w:type="dxa"/>
            <w:vAlign w:val="bottom"/>
          </w:tcPr>
          <w:p>
            <w:pPr>
              <w:ind w:left="80"/>
              <w:spacing w:after="0"/>
              <w:rPr>
                <w:sz w:val="20"/>
                <w:szCs w:val="20"/>
                <w:color w:val="auto"/>
              </w:rPr>
            </w:pPr>
            <w:r>
              <w:rPr>
                <w:rFonts w:ascii="Arial" w:cs="Arial" w:eastAsia="Arial" w:hAnsi="Arial"/>
                <w:sz w:val="17"/>
                <w:szCs w:val="17"/>
                <w:color w:val="auto"/>
              </w:rPr>
              <w:t>Additional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4.07.</w:t>
            </w:r>
          </w:p>
        </w:tc>
        <w:tc>
          <w:tcPr>
            <w:tcW w:w="8860" w:type="dxa"/>
            <w:vAlign w:val="bottom"/>
          </w:tcPr>
          <w:p>
            <w:pPr>
              <w:ind w:left="80"/>
              <w:spacing w:after="0"/>
              <w:rPr>
                <w:sz w:val="20"/>
                <w:szCs w:val="20"/>
                <w:color w:val="auto"/>
              </w:rPr>
            </w:pPr>
            <w:r>
              <w:rPr>
                <w:rFonts w:ascii="Arial" w:cs="Arial" w:eastAsia="Arial" w:hAnsi="Arial"/>
                <w:sz w:val="17"/>
                <w:szCs w:val="17"/>
                <w:color w:val="auto"/>
              </w:rPr>
              <w:t>Right of Contribution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4.08.</w:t>
            </w:r>
          </w:p>
        </w:tc>
        <w:tc>
          <w:tcPr>
            <w:tcW w:w="8860" w:type="dxa"/>
            <w:vAlign w:val="bottom"/>
          </w:tcPr>
          <w:p>
            <w:pPr>
              <w:ind w:left="80"/>
              <w:spacing w:after="0"/>
              <w:rPr>
                <w:sz w:val="20"/>
                <w:szCs w:val="20"/>
                <w:color w:val="auto"/>
              </w:rPr>
            </w:pPr>
            <w:r>
              <w:rPr>
                <w:rFonts w:ascii="Arial" w:cs="Arial" w:eastAsia="Arial" w:hAnsi="Arial"/>
                <w:sz w:val="17"/>
                <w:szCs w:val="17"/>
                <w:color w:val="auto"/>
              </w:rPr>
              <w:t>Covenant Not to Sue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10"/>
        </w:trPr>
        <w:tc>
          <w:tcPr>
            <w:tcW w:w="2040" w:type="dxa"/>
            <w:vAlign w:val="bottom"/>
          </w:tcPr>
          <w:p>
            <w:pPr>
              <w:ind w:left="360"/>
              <w:spacing w:after="0"/>
              <w:rPr>
                <w:sz w:val="20"/>
                <w:szCs w:val="20"/>
                <w:color w:val="auto"/>
              </w:rPr>
            </w:pPr>
            <w:r>
              <w:rPr>
                <w:rFonts w:ascii="Arial" w:cs="Arial" w:eastAsia="Arial" w:hAnsi="Arial"/>
                <w:sz w:val="17"/>
                <w:szCs w:val="17"/>
                <w:color w:val="auto"/>
              </w:rPr>
              <w:t>Section 4.09.</w:t>
            </w:r>
          </w:p>
        </w:tc>
        <w:tc>
          <w:tcPr>
            <w:tcW w:w="8860" w:type="dxa"/>
            <w:vAlign w:val="bottom"/>
          </w:tcPr>
          <w:p>
            <w:pPr>
              <w:ind w:left="80"/>
              <w:spacing w:after="0"/>
              <w:rPr>
                <w:sz w:val="20"/>
                <w:szCs w:val="20"/>
                <w:color w:val="auto"/>
              </w:rPr>
            </w:pPr>
            <w:r>
              <w:rPr>
                <w:rFonts w:ascii="Arial" w:cs="Arial" w:eastAsia="Arial" w:hAnsi="Arial"/>
                <w:sz w:val="17"/>
                <w:szCs w:val="17"/>
                <w:color w:val="auto"/>
              </w:rPr>
              <w:t>Remedies Cumulative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22"/>
        </w:trPr>
        <w:tc>
          <w:tcPr>
            <w:tcW w:w="2040" w:type="dxa"/>
            <w:vAlign w:val="bottom"/>
          </w:tcPr>
          <w:p>
            <w:pPr>
              <w:ind w:left="360"/>
              <w:spacing w:after="0"/>
              <w:rPr>
                <w:sz w:val="20"/>
                <w:szCs w:val="20"/>
                <w:color w:val="auto"/>
              </w:rPr>
            </w:pPr>
            <w:r>
              <w:rPr>
                <w:rFonts w:ascii="Arial" w:cs="Arial" w:eastAsia="Arial" w:hAnsi="Arial"/>
                <w:sz w:val="17"/>
                <w:szCs w:val="17"/>
                <w:color w:val="auto"/>
              </w:rPr>
              <w:t>Section 4.10.</w:t>
            </w:r>
          </w:p>
        </w:tc>
        <w:tc>
          <w:tcPr>
            <w:tcW w:w="8860" w:type="dxa"/>
            <w:vAlign w:val="bottom"/>
          </w:tcPr>
          <w:p>
            <w:pPr>
              <w:ind w:left="80"/>
              <w:spacing w:after="0"/>
              <w:rPr>
                <w:sz w:val="20"/>
                <w:szCs w:val="20"/>
                <w:color w:val="auto"/>
              </w:rPr>
            </w:pPr>
            <w:r>
              <w:rPr>
                <w:rFonts w:ascii="Arial" w:cs="Arial" w:eastAsia="Arial" w:hAnsi="Arial"/>
                <w:sz w:val="17"/>
                <w:szCs w:val="17"/>
                <w:color w:val="auto"/>
              </w:rPr>
              <w:t>Survival of Indemnities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419"/>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40" w:type="dxa"/>
            <w:vAlign w:val="bottom"/>
            <w:tcBorders>
              <w:bottom w:val="single" w:sz="8" w:color="010101"/>
            </w:tcBorders>
          </w:tcPr>
          <w:p>
            <w:pPr>
              <w:spacing w:after="0"/>
              <w:rPr>
                <w:sz w:val="11"/>
                <w:szCs w:val="11"/>
                <w:color w:val="auto"/>
              </w:rPr>
            </w:pPr>
          </w:p>
        </w:tc>
        <w:tc>
          <w:tcPr>
            <w:tcW w:w="88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2040" w:type="dxa"/>
            <w:vAlign w:val="bottom"/>
          </w:tcPr>
          <w:p>
            <w:pPr>
              <w:spacing w:after="0"/>
              <w:rPr>
                <w:sz w:val="24"/>
                <w:szCs w:val="24"/>
                <w:color w:val="auto"/>
              </w:rPr>
            </w:pPr>
          </w:p>
        </w:tc>
        <w:tc>
          <w:tcPr>
            <w:tcW w:w="8860" w:type="dxa"/>
            <w:vAlign w:val="bottom"/>
          </w:tcPr>
          <w:p>
            <w:pPr>
              <w:jc w:val="center"/>
              <w:ind w:right="1433"/>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8860" w:type="dxa"/>
            <w:vAlign w:val="bottom"/>
          </w:tcPr>
          <w:p>
            <w:pPr>
              <w:jc w:val="center"/>
              <w:ind w:right="1413"/>
              <w:spacing w:after="0"/>
              <w:rPr>
                <w:sz w:val="20"/>
                <w:szCs w:val="20"/>
                <w:color w:val="auto"/>
              </w:rPr>
            </w:pPr>
            <w:r>
              <w:rPr>
                <w:rFonts w:ascii="Arial" w:cs="Arial" w:eastAsia="Arial" w:hAnsi="Arial"/>
                <w:sz w:val="17"/>
                <w:szCs w:val="17"/>
                <w:color w:val="auto"/>
                <w:w w:val="94"/>
              </w:rPr>
              <w:t>(continued)</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204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900" w:type="dxa"/>
            <w:vAlign w:val="bottom"/>
            <w:gridSpan w:val="2"/>
          </w:tcPr>
          <w:p>
            <w:pPr>
              <w:spacing w:after="0"/>
              <w:rPr>
                <w:sz w:val="20"/>
                <w:szCs w:val="20"/>
                <w:color w:val="auto"/>
              </w:rPr>
            </w:pPr>
            <w:r>
              <w:rPr>
                <w:rFonts w:ascii="Arial" w:cs="Arial" w:eastAsia="Arial" w:hAnsi="Arial"/>
                <w:sz w:val="17"/>
                <w:szCs w:val="17"/>
                <w:color w:val="auto"/>
              </w:rPr>
              <w:t>ARTICLE V CERTAIN OTHER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-7942580</wp:posOffset>
            </wp:positionV>
            <wp:extent cx="12700"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-7942580</wp:posOffset>
            </wp:positionV>
            <wp:extent cx="12700"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-1141730</wp:posOffset>
            </wp:positionV>
            <wp:extent cx="1270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-1141730</wp:posOffset>
            </wp:positionV>
            <wp:extent cx="12700"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No Right to Use Regulatory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5.02.</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Directors and Officers Insurance; Fiduciary Liability Insurance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5.03.</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Insurance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5.04.</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Late Payments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5.05.</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Treatment of Payments for Tax Purposes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5.06.</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Inducement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5.07.</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Post-Effective Time Conduct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5.08.</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Licensed Patents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51</w:t>
            </w:r>
          </w:p>
        </w:tc>
      </w:tr>
      <w:tr>
        <w:trPr>
          <w:trHeight w:val="222"/>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5.09.</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Non-Compete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 EXCHANGE OF INFORMATION; CONFIDENTIALITY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r>
      <w:tr>
        <w:trPr>
          <w:trHeight w:val="408"/>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Agreement for Exchange of Information; Archives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6.02.</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Ownership of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6.03.</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Stored Records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6.04.</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Limitations of Liability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6.05.</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Other Agreements Providing for Exchange of Information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6.06.</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Production of Witnesses; Records; Cooperation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6.07.</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Privileged Matters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6.08.</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Confidentiality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r>
      <w:tr>
        <w:trPr>
          <w:trHeight w:val="222"/>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6.09.</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Protective Arrangements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VII DISPUTE RESOLUTION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419"/>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7.01.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Disputes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r>
      <w:tr>
        <w:trPr>
          <w:trHeight w:val="419"/>
        </w:trPr>
        <w:tc>
          <w:tcPr>
            <w:tcW w:w="10900" w:type="dxa"/>
            <w:vAlign w:val="bottom"/>
            <w:gridSpan w:val="9"/>
          </w:tcPr>
          <w:p>
            <w:pPr>
              <w:spacing w:after="0"/>
              <w:rPr>
                <w:sz w:val="20"/>
                <w:szCs w:val="20"/>
                <w:color w:val="auto"/>
              </w:rPr>
            </w:pPr>
            <w:r>
              <w:rPr>
                <w:rFonts w:ascii="Arial" w:cs="Arial" w:eastAsia="Arial" w:hAnsi="Arial"/>
                <w:sz w:val="17"/>
                <w:szCs w:val="17"/>
                <w:color w:val="auto"/>
              </w:rPr>
              <w:t>ARTICLE VIII 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419"/>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8.01.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Termination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420"/>
        </w:trPr>
        <w:tc>
          <w:tcPr>
            <w:tcW w:w="10900" w:type="dxa"/>
            <w:vAlign w:val="bottom"/>
            <w:gridSpan w:val="9"/>
          </w:tcPr>
          <w:p>
            <w:pPr>
              <w:spacing w:after="0"/>
              <w:rPr>
                <w:sz w:val="20"/>
                <w:szCs w:val="20"/>
                <w:color w:val="auto"/>
              </w:rPr>
            </w:pPr>
            <w:r>
              <w:rPr>
                <w:rFonts w:ascii="Arial" w:cs="Arial" w:eastAsia="Arial" w:hAnsi="Arial"/>
                <w:sz w:val="17"/>
                <w:szCs w:val="17"/>
                <w:color w:val="auto"/>
              </w:rPr>
              <w:t>ARTICLE IX MISCELLANEOUS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408"/>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Counterparts; Entire Agreement; Corporate Power; Facsimile Signatures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9.02.</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Governing Law</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9.03.</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Assignability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9.04.</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Third Party Beneficiaries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9.05.</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Notices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9.06.</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Severability</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9.07.</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Force Majeure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9.08.</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No Set Off</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r>
      <w:tr>
        <w:trPr>
          <w:trHeight w:val="222"/>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9.09.</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Responsibility for Expenses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r>
      <w:tr>
        <w:trPr>
          <w:trHeight w:val="419"/>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rPr>
              <w:t>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320" w:type="dxa"/>
            <w:vAlign w:val="bottom"/>
            <w:gridSpan w:val="2"/>
          </w:tcPr>
          <w:p>
            <w:pPr>
              <w:jc w:val="center"/>
              <w:ind w:right="4040"/>
              <w:spacing w:after="0"/>
              <w:rPr>
                <w:sz w:val="20"/>
                <w:szCs w:val="20"/>
                <w:color w:val="auto"/>
              </w:rPr>
            </w:pPr>
            <w:r>
              <w:rPr>
                <w:rFonts w:ascii="Arial" w:cs="Arial" w:eastAsia="Arial" w:hAnsi="Arial"/>
                <w:sz w:val="17"/>
                <w:szCs w:val="17"/>
                <w:color w:val="auto"/>
                <w:w w:val="94"/>
              </w:rPr>
              <w:t>(continued)</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7"/>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9.10.</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Headings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9.11.</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Survival of Covenants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9.12.</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Subsidiaries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9.13.</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Waivers of Default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9.14.</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Amendments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9.15.</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Interpretation</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9.16.</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Public Announcements</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r>
      <w:tr>
        <w:trPr>
          <w:trHeight w:val="210"/>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9.17.</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Specific Performance</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r>
      <w:tr>
        <w:trPr>
          <w:trHeight w:val="222"/>
        </w:trPr>
        <w:tc>
          <w:tcPr>
            <w:tcW w:w="1700" w:type="dxa"/>
            <w:vAlign w:val="bottom"/>
            <w:gridSpan w:val="6"/>
          </w:tcPr>
          <w:p>
            <w:pPr>
              <w:ind w:left="360"/>
              <w:spacing w:after="0"/>
              <w:rPr>
                <w:sz w:val="20"/>
                <w:szCs w:val="20"/>
                <w:color w:val="auto"/>
              </w:rPr>
            </w:pPr>
            <w:r>
              <w:rPr>
                <w:rFonts w:ascii="Arial" w:cs="Arial" w:eastAsia="Arial" w:hAnsi="Arial"/>
                <w:sz w:val="17"/>
                <w:szCs w:val="17"/>
                <w:color w:val="auto"/>
              </w:rPr>
              <w:t>Section 9.18.</w:t>
            </w: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Mutual Drafting</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r>
      <w:tr>
        <w:trPr>
          <w:trHeight w:val="419"/>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rPr>
              <w:t>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gridSpan w:val="2"/>
          </w:tcPr>
          <w:p>
            <w:pPr>
              <w:jc w:val="center"/>
              <w:ind w:right="4060"/>
              <w:spacing w:after="0"/>
              <w:rPr>
                <w:sz w:val="20"/>
                <w:szCs w:val="20"/>
                <w:color w:val="auto"/>
              </w:rPr>
            </w:pPr>
            <w:r>
              <w:rPr>
                <w:rFonts w:ascii="Arial" w:cs="Arial" w:eastAsia="Arial" w:hAnsi="Arial"/>
                <w:sz w:val="17"/>
                <w:szCs w:val="17"/>
                <w:color w:val="auto"/>
                <w:w w:val="99"/>
              </w:rPr>
              <w:t>SCHEDULES AND EXHIBITS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Schedules</w:t>
            </w:r>
          </w:p>
        </w:tc>
        <w:tc>
          <w:tcPr>
            <w:tcW w:w="980" w:type="dxa"/>
            <w:vAlign w:val="bottom"/>
            <w:gridSpan w:val="5"/>
          </w:tcPr>
          <w:p>
            <w:pPr>
              <w:spacing w:after="0"/>
              <w:rPr>
                <w:sz w:val="24"/>
                <w:szCs w:val="24"/>
                <w:color w:val="auto"/>
              </w:rPr>
            </w:pPr>
          </w:p>
        </w:tc>
        <w:tc>
          <w:tcPr>
            <w:tcW w:w="288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1"/>
              </w:rPr>
              <w:t>Schedule 1.01(a)</w:t>
            </w:r>
          </w:p>
        </w:tc>
        <w:tc>
          <w:tcPr>
            <w:tcW w:w="500" w:type="dxa"/>
            <w:vAlign w:val="bottom"/>
            <w:gridSpan w:val="2"/>
          </w:tcPr>
          <w:p>
            <w:pPr>
              <w:spacing w:after="0"/>
              <w:rPr>
                <w:sz w:val="24"/>
                <w:szCs w:val="24"/>
                <w:color w:val="auto"/>
              </w:rPr>
            </w:pPr>
          </w:p>
        </w:tc>
        <w:tc>
          <w:tcPr>
            <w:tcW w:w="9200" w:type="dxa"/>
            <w:vAlign w:val="bottom"/>
            <w:gridSpan w:val="3"/>
          </w:tcPr>
          <w:p>
            <w:pPr>
              <w:ind w:left="420"/>
              <w:spacing w:after="0"/>
              <w:rPr>
                <w:sz w:val="20"/>
                <w:szCs w:val="20"/>
                <w:color w:val="auto"/>
              </w:rPr>
            </w:pPr>
            <w:r>
              <w:rPr>
                <w:rFonts w:ascii="Arial" w:cs="Arial" w:eastAsia="Arial" w:hAnsi="Arial"/>
                <w:sz w:val="17"/>
                <w:szCs w:val="17"/>
                <w:color w:val="auto"/>
              </w:rPr>
              <w:t>Specified Abbott Information</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120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1.01(b)</w:t>
            </w:r>
          </w:p>
        </w:tc>
        <w:tc>
          <w:tcPr>
            <w:tcW w:w="500" w:type="dxa"/>
            <w:vAlign w:val="bottom"/>
            <w:gridSpan w:val="2"/>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AbbVie Real Property</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2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3"/>
              </w:rPr>
              <w:t>Schedule 1.01(c)</w:t>
            </w:r>
          </w:p>
        </w:tc>
        <w:tc>
          <w:tcPr>
            <w:tcW w:w="480" w:type="dxa"/>
            <w:vAlign w:val="bottom"/>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AbbVie Other Assets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0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1.01(d)</w:t>
            </w:r>
          </w:p>
        </w:tc>
        <w:tc>
          <w:tcPr>
            <w:tcW w:w="500" w:type="dxa"/>
            <w:vAlign w:val="bottom"/>
            <w:gridSpan w:val="2"/>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Excluded Research and Development Projects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700" w:type="dxa"/>
            <w:vAlign w:val="bottom"/>
            <w:gridSpan w:val="6"/>
          </w:tcPr>
          <w:p>
            <w:pPr>
              <w:spacing w:after="0" w:line="189" w:lineRule="exact"/>
              <w:rPr>
                <w:sz w:val="20"/>
                <w:szCs w:val="20"/>
                <w:color w:val="auto"/>
              </w:rPr>
            </w:pPr>
            <w:r>
              <w:rPr>
                <w:rFonts w:ascii="Arial" w:cs="Arial" w:eastAsia="Arial" w:hAnsi="Arial"/>
                <w:sz w:val="17"/>
                <w:szCs w:val="17"/>
                <w:color w:val="auto"/>
              </w:rPr>
              <w:t>Schedule 1.01(e)</w:t>
            </w: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Excluded Discontinued Facilities Locations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8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color w:val="auto"/>
                <w:w w:val="92"/>
              </w:rPr>
              <w:t>Schedule 1.01(f)</w:t>
            </w:r>
          </w:p>
        </w:tc>
        <w:tc>
          <w:tcPr>
            <w:tcW w:w="520" w:type="dxa"/>
            <w:vAlign w:val="bottom"/>
            <w:gridSpan w:val="3"/>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Excluded Discontinued Products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2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2"/>
              </w:rPr>
              <w:t>Schedule 1.01(g)</w:t>
            </w:r>
          </w:p>
        </w:tc>
        <w:tc>
          <w:tcPr>
            <w:tcW w:w="480" w:type="dxa"/>
            <w:vAlign w:val="bottom"/>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AbbVie Former Businesses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20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1.01(h)</w:t>
            </w:r>
          </w:p>
        </w:tc>
        <w:tc>
          <w:tcPr>
            <w:tcW w:w="500" w:type="dxa"/>
            <w:vAlign w:val="bottom"/>
            <w:gridSpan w:val="2"/>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AbbVie Patents and Trademarks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11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92"/>
              </w:rPr>
              <w:t>Schedule 1.01(i)</w:t>
            </w:r>
          </w:p>
        </w:tc>
        <w:tc>
          <w:tcPr>
            <w:tcW w:w="540" w:type="dxa"/>
            <w:vAlign w:val="bottom"/>
            <w:gridSpan w:val="4"/>
          </w:tcPr>
          <w:p>
            <w:pPr>
              <w:spacing w:after="0"/>
              <w:rPr>
                <w:sz w:val="16"/>
                <w:szCs w:val="16"/>
                <w:color w:val="auto"/>
              </w:rPr>
            </w:pPr>
          </w:p>
        </w:tc>
        <w:tc>
          <w:tcPr>
            <w:tcW w:w="9200" w:type="dxa"/>
            <w:vAlign w:val="bottom"/>
            <w:gridSpan w:val="3"/>
          </w:tcPr>
          <w:p>
            <w:pPr>
              <w:ind w:left="420"/>
              <w:spacing w:after="0" w:line="189" w:lineRule="exact"/>
              <w:rPr>
                <w:sz w:val="20"/>
                <w:szCs w:val="20"/>
                <w:color w:val="auto"/>
              </w:rPr>
            </w:pPr>
            <w:r>
              <w:rPr>
                <w:rFonts w:ascii="Arial" w:cs="Arial" w:eastAsia="Arial" w:hAnsi="Arial"/>
                <w:sz w:val="17"/>
                <w:szCs w:val="17"/>
                <w:color w:val="auto"/>
              </w:rPr>
              <w:t>AbbVie Liabilities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-4621530</wp:posOffset>
            </wp:positionV>
            <wp:extent cx="12700"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-4621530</wp:posOffset>
            </wp:positionV>
            <wp:extent cx="12700"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-2091055</wp:posOffset>
            </wp:positionV>
            <wp:extent cx="12700"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-2091055</wp:posOffset>
            </wp:positionV>
            <wp:extent cx="12700"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9" w:name="page10"/>
    <w:bookmarkEnd w:id="9"/>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2"/>
              </w:rPr>
              <w:t>Schedule 1.01(j)</w:t>
            </w:r>
          </w:p>
        </w:tc>
        <w:tc>
          <w:tcPr>
            <w:tcW w:w="620" w:type="dxa"/>
            <w:vAlign w:val="bottom"/>
            <w:gridSpan w:val="10"/>
          </w:tcPr>
          <w:p>
            <w:pPr>
              <w:spacing w:after="0"/>
              <w:rPr>
                <w:sz w:val="16"/>
                <w:szCs w:val="16"/>
                <w:color w:val="auto"/>
              </w:rPr>
            </w:pPr>
          </w:p>
        </w:tc>
        <w:tc>
          <w:tcPr>
            <w:tcW w:w="9680" w:type="dxa"/>
            <w:vAlign w:val="bottom"/>
          </w:tcPr>
          <w:p>
            <w:pPr>
              <w:ind w:left="340"/>
              <w:spacing w:after="0"/>
              <w:rPr>
                <w:sz w:val="20"/>
                <w:szCs w:val="20"/>
                <w:color w:val="auto"/>
              </w:rPr>
            </w:pPr>
            <w:r>
              <w:rPr>
                <w:rFonts w:ascii="Arial" w:cs="Arial" w:eastAsia="Arial" w:hAnsi="Arial"/>
                <w:sz w:val="17"/>
                <w:szCs w:val="17"/>
                <w:color w:val="auto"/>
              </w:rPr>
              <w:t>AbbVie Proceedings</w:t>
            </w:r>
          </w:p>
        </w:tc>
      </w:tr>
      <w:tr>
        <w:trPr>
          <w:trHeight w:val="190"/>
        </w:trPr>
        <w:tc>
          <w:tcPr>
            <w:tcW w:w="120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1"/>
              </w:rPr>
              <w:t>Schedule 1.01(k)</w:t>
            </w:r>
          </w:p>
        </w:tc>
        <w:tc>
          <w:tcPr>
            <w:tcW w:w="580" w:type="dxa"/>
            <w:vAlign w:val="bottom"/>
            <w:gridSpan w:val="8"/>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Depakote Proceedings</w:t>
            </w:r>
          </w:p>
        </w:tc>
      </w:tr>
      <w:tr>
        <w:trPr>
          <w:trHeight w:val="190"/>
        </w:trPr>
        <w:tc>
          <w:tcPr>
            <w:tcW w:w="1160" w:type="dxa"/>
            <w:vAlign w:val="bottom"/>
            <w:tcBorders>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2"/>
              </w:rPr>
              <w:t>Schedule 1.01(l)</w:t>
            </w:r>
          </w:p>
        </w:tc>
        <w:tc>
          <w:tcPr>
            <w:tcW w:w="620" w:type="dxa"/>
            <w:vAlign w:val="bottom"/>
            <w:gridSpan w:val="10"/>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Exclusive AbbVie Products</w:t>
            </w: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1.01(m)</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Excluded Mixed Accounts</w:t>
            </w:r>
          </w:p>
        </w:tc>
      </w:tr>
      <w:tr>
        <w:trPr>
          <w:trHeight w:val="190"/>
        </w:trPr>
        <w:tc>
          <w:tcPr>
            <w:tcW w:w="1220" w:type="dxa"/>
            <w:vAlign w:val="bottom"/>
            <w:tcBorders>
              <w:top w:val="single" w:sz="8" w:color="auto"/>
              <w:bottom w:val="single" w:sz="8" w:color="auto"/>
            </w:tcBorders>
            <w:gridSpan w:val="8"/>
          </w:tcPr>
          <w:p>
            <w:pPr>
              <w:spacing w:after="0" w:line="189" w:lineRule="exact"/>
              <w:rPr>
                <w:sz w:val="20"/>
                <w:szCs w:val="20"/>
                <w:color w:val="auto"/>
              </w:rPr>
            </w:pPr>
            <w:r>
              <w:rPr>
                <w:rFonts w:ascii="Arial" w:cs="Arial" w:eastAsia="Arial" w:hAnsi="Arial"/>
                <w:sz w:val="17"/>
                <w:szCs w:val="17"/>
                <w:color w:val="auto"/>
                <w:w w:val="92"/>
              </w:rPr>
              <w:t>Schedule 1.01(n)</w:t>
            </w:r>
          </w:p>
        </w:tc>
        <w:tc>
          <w:tcPr>
            <w:tcW w:w="20" w:type="dxa"/>
            <w:vAlign w:val="bottom"/>
            <w:tcBorders>
              <w:top w:val="single" w:sz="8" w:color="auto"/>
            </w:tcBorders>
          </w:tcPr>
          <w:p>
            <w:pPr>
              <w:spacing w:after="0"/>
              <w:rPr>
                <w:sz w:val="16"/>
                <w:szCs w:val="16"/>
                <w:color w:val="auto"/>
              </w:rPr>
            </w:pPr>
          </w:p>
        </w:tc>
        <w:tc>
          <w:tcPr>
            <w:tcW w:w="540" w:type="dxa"/>
            <w:vAlign w:val="bottom"/>
            <w:gridSpan w:val="6"/>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Excluded Mixed Contracts</w:t>
            </w:r>
          </w:p>
        </w:tc>
      </w:tr>
      <w:tr>
        <w:trPr>
          <w:trHeight w:val="190"/>
        </w:trPr>
        <w:tc>
          <w:tcPr>
            <w:tcW w:w="1220" w:type="dxa"/>
            <w:vAlign w:val="bottom"/>
            <w:tcBorders>
              <w:bottom w:val="single" w:sz="8" w:color="auto"/>
            </w:tcBorders>
            <w:gridSpan w:val="8"/>
          </w:tcPr>
          <w:p>
            <w:pPr>
              <w:spacing w:after="0" w:line="189" w:lineRule="exact"/>
              <w:rPr>
                <w:sz w:val="20"/>
                <w:szCs w:val="20"/>
                <w:color w:val="auto"/>
              </w:rPr>
            </w:pPr>
            <w:r>
              <w:rPr>
                <w:rFonts w:ascii="Arial" w:cs="Arial" w:eastAsia="Arial" w:hAnsi="Arial"/>
                <w:sz w:val="17"/>
                <w:szCs w:val="17"/>
                <w:color w:val="auto"/>
                <w:w w:val="92"/>
              </w:rPr>
              <w:t>Schedule 1.01(o)</w:t>
            </w:r>
          </w:p>
        </w:tc>
        <w:tc>
          <w:tcPr>
            <w:tcW w:w="560" w:type="dxa"/>
            <w:vAlign w:val="bottom"/>
            <w:gridSpan w:val="7"/>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Special Products</w:t>
            </w:r>
          </w:p>
        </w:tc>
      </w:tr>
      <w:tr>
        <w:trPr>
          <w:trHeight w:val="190"/>
        </w:trPr>
        <w:tc>
          <w:tcPr>
            <w:tcW w:w="120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1"/>
              </w:rPr>
              <w:t>Schedule 1.01(p)</w:t>
            </w:r>
          </w:p>
        </w:tc>
        <w:tc>
          <w:tcPr>
            <w:tcW w:w="580" w:type="dxa"/>
            <w:vAlign w:val="bottom"/>
            <w:gridSpan w:val="8"/>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Transferred Entities</w:t>
            </w: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2.03(a)</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Specified Jurisdictions</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2.03(c)</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Arrangements for Certain Deferred AbbVie Local Businesses</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190"/>
        </w:trPr>
        <w:tc>
          <w:tcPr>
            <w:tcW w:w="1440" w:type="dxa"/>
            <w:vAlign w:val="bottom"/>
            <w:tcBorders>
              <w:bottom w:val="single" w:sz="8" w:color="auto"/>
            </w:tcBorders>
            <w:gridSpan w:val="13"/>
          </w:tcPr>
          <w:p>
            <w:pPr>
              <w:spacing w:after="0" w:line="189" w:lineRule="exact"/>
              <w:rPr>
                <w:sz w:val="20"/>
                <w:szCs w:val="20"/>
                <w:color w:val="auto"/>
              </w:rPr>
            </w:pPr>
            <w:r>
              <w:rPr>
                <w:rFonts w:ascii="Arial" w:cs="Arial" w:eastAsia="Arial" w:hAnsi="Arial"/>
                <w:sz w:val="17"/>
                <w:szCs w:val="17"/>
                <w:color w:val="auto"/>
                <w:w w:val="95"/>
              </w:rPr>
              <w:t>Schedule 2.09(b)(ii)</w:t>
            </w:r>
          </w:p>
        </w:tc>
        <w:tc>
          <w:tcPr>
            <w:tcW w:w="340" w:type="dxa"/>
            <w:vAlign w:val="bottom"/>
            <w:gridSpan w:val="2"/>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Intercompany Agreements</w:t>
            </w:r>
          </w:p>
        </w:tc>
      </w:tr>
      <w:tr>
        <w:trPr>
          <w:trHeight w:val="190"/>
        </w:trPr>
        <w:tc>
          <w:tcPr>
            <w:tcW w:w="1460" w:type="dxa"/>
            <w:vAlign w:val="bottom"/>
            <w:tcBorders>
              <w:bottom w:val="single" w:sz="8" w:color="auto"/>
            </w:tcBorders>
            <w:gridSpan w:val="14"/>
          </w:tcPr>
          <w:p>
            <w:pPr>
              <w:spacing w:after="0" w:line="189" w:lineRule="exact"/>
              <w:rPr>
                <w:sz w:val="20"/>
                <w:szCs w:val="20"/>
                <w:color w:val="auto"/>
              </w:rPr>
            </w:pPr>
            <w:r>
              <w:rPr>
                <w:rFonts w:ascii="Arial" w:cs="Arial" w:eastAsia="Arial" w:hAnsi="Arial"/>
                <w:sz w:val="17"/>
                <w:szCs w:val="17"/>
                <w:color w:val="auto"/>
                <w:w w:val="94"/>
              </w:rPr>
              <w:t>Schedule 2.09(b)(iv)</w:t>
            </w:r>
          </w:p>
        </w:tc>
        <w:tc>
          <w:tcPr>
            <w:tcW w:w="320" w:type="dxa"/>
            <w:vAlign w:val="bottom"/>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Non-Wholly Owned Subsidiaries</w:t>
            </w: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2.10(c)</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AbbVie Accounts</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4.01(a)</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Releases</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190"/>
        </w:trPr>
        <w:tc>
          <w:tcPr>
            <w:tcW w:w="1200" w:type="dxa"/>
            <w:vAlign w:val="bottom"/>
            <w:tcBorders>
              <w:bottom w:val="single" w:sz="8" w:color="auto"/>
            </w:tcBorders>
            <w:gridSpan w:val="7"/>
          </w:tcPr>
          <w:p>
            <w:pPr>
              <w:spacing w:after="0" w:line="189" w:lineRule="exact"/>
              <w:rPr>
                <w:sz w:val="20"/>
                <w:szCs w:val="20"/>
                <w:color w:val="auto"/>
              </w:rPr>
            </w:pPr>
            <w:r>
              <w:rPr>
                <w:rFonts w:ascii="Arial" w:cs="Arial" w:eastAsia="Arial" w:hAnsi="Arial"/>
                <w:sz w:val="17"/>
                <w:szCs w:val="17"/>
                <w:color w:val="auto"/>
                <w:w w:val="91"/>
              </w:rPr>
              <w:t>Schedule 4.05(b)</w:t>
            </w:r>
          </w:p>
        </w:tc>
        <w:tc>
          <w:tcPr>
            <w:tcW w:w="580" w:type="dxa"/>
            <w:vAlign w:val="bottom"/>
            <w:gridSpan w:val="8"/>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Specified Proceedings</w:t>
            </w:r>
          </w:p>
        </w:tc>
      </w:tr>
      <w:tr>
        <w:trPr>
          <w:trHeight w:val="190"/>
        </w:trPr>
        <w:tc>
          <w:tcPr>
            <w:tcW w:w="10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5.01</w:t>
            </w:r>
          </w:p>
        </w:tc>
        <w:tc>
          <w:tcPr>
            <w:tcW w:w="760" w:type="dxa"/>
            <w:vAlign w:val="bottom"/>
            <w:gridSpan w:val="11"/>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Right to Use Regulatory Information</w:t>
            </w:r>
          </w:p>
        </w:tc>
      </w:tr>
      <w:tr>
        <w:trPr>
          <w:trHeight w:val="190"/>
        </w:trPr>
        <w:tc>
          <w:tcPr>
            <w:tcW w:w="1360" w:type="dxa"/>
            <w:vAlign w:val="bottom"/>
            <w:tcBorders>
              <w:bottom w:val="single" w:sz="8" w:color="auto"/>
            </w:tcBorders>
            <w:gridSpan w:val="10"/>
          </w:tcPr>
          <w:p>
            <w:pPr>
              <w:spacing w:after="0" w:line="189" w:lineRule="exact"/>
              <w:rPr>
                <w:sz w:val="20"/>
                <w:szCs w:val="20"/>
                <w:color w:val="auto"/>
              </w:rPr>
            </w:pPr>
            <w:r>
              <w:rPr>
                <w:rFonts w:ascii="Arial" w:cs="Arial" w:eastAsia="Arial" w:hAnsi="Arial"/>
                <w:sz w:val="17"/>
                <w:szCs w:val="17"/>
                <w:color w:val="auto"/>
                <w:w w:val="92"/>
              </w:rPr>
              <w:t>Schedule 5.08(a)(i)</w:t>
            </w:r>
          </w:p>
        </w:tc>
        <w:tc>
          <w:tcPr>
            <w:tcW w:w="420" w:type="dxa"/>
            <w:vAlign w:val="bottom"/>
            <w:gridSpan w:val="5"/>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Abbott Non-Exclusive Licensed Patents</w:t>
            </w:r>
          </w:p>
        </w:tc>
      </w:tr>
      <w:tr>
        <w:trPr>
          <w:trHeight w:val="190"/>
        </w:trPr>
        <w:tc>
          <w:tcPr>
            <w:tcW w:w="1420" w:type="dxa"/>
            <w:vAlign w:val="bottom"/>
            <w:tcBorders>
              <w:bottom w:val="single" w:sz="8" w:color="auto"/>
            </w:tcBorders>
            <w:gridSpan w:val="12"/>
          </w:tcPr>
          <w:p>
            <w:pPr>
              <w:spacing w:after="0" w:line="189" w:lineRule="exact"/>
              <w:rPr>
                <w:sz w:val="20"/>
                <w:szCs w:val="20"/>
                <w:color w:val="auto"/>
              </w:rPr>
            </w:pPr>
            <w:r>
              <w:rPr>
                <w:rFonts w:ascii="Arial" w:cs="Arial" w:eastAsia="Arial" w:hAnsi="Arial"/>
                <w:sz w:val="17"/>
                <w:szCs w:val="17"/>
                <w:color w:val="auto"/>
                <w:w w:val="94"/>
              </w:rPr>
              <w:t>Schedule 5.08(a)(ii)</w:t>
            </w:r>
          </w:p>
        </w:tc>
        <w:tc>
          <w:tcPr>
            <w:tcW w:w="360" w:type="dxa"/>
            <w:vAlign w:val="bottom"/>
            <w:gridSpan w:val="3"/>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Abbott Exclusive Licensed Patents</w:t>
            </w:r>
          </w:p>
        </w:tc>
      </w:tr>
      <w:tr>
        <w:trPr>
          <w:trHeight w:val="190"/>
        </w:trPr>
        <w:tc>
          <w:tcPr>
            <w:tcW w:w="1460" w:type="dxa"/>
            <w:vAlign w:val="bottom"/>
            <w:tcBorders>
              <w:bottom w:val="single" w:sz="8" w:color="auto"/>
            </w:tcBorders>
            <w:gridSpan w:val="14"/>
          </w:tcPr>
          <w:p>
            <w:pPr>
              <w:spacing w:after="0" w:line="189" w:lineRule="exact"/>
              <w:rPr>
                <w:sz w:val="20"/>
                <w:szCs w:val="20"/>
                <w:color w:val="auto"/>
              </w:rPr>
            </w:pPr>
            <w:r>
              <w:rPr>
                <w:rFonts w:ascii="Arial" w:cs="Arial" w:eastAsia="Arial" w:hAnsi="Arial"/>
                <w:sz w:val="17"/>
                <w:szCs w:val="17"/>
                <w:color w:val="auto"/>
                <w:w w:val="94"/>
              </w:rPr>
              <w:t>Schedule 5.08(a)(iii)</w:t>
            </w:r>
          </w:p>
        </w:tc>
        <w:tc>
          <w:tcPr>
            <w:tcW w:w="320" w:type="dxa"/>
            <w:vAlign w:val="bottom"/>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Abbott Co-Exclusive Licensed Patents</w:t>
            </w:r>
          </w:p>
        </w:tc>
      </w:tr>
      <w:tr>
        <w:trPr>
          <w:trHeight w:val="190"/>
        </w:trPr>
        <w:tc>
          <w:tcPr>
            <w:tcW w:w="1780" w:type="dxa"/>
            <w:vAlign w:val="bottom"/>
            <w:gridSpan w:val="15"/>
          </w:tcPr>
          <w:p>
            <w:pPr>
              <w:spacing w:after="0" w:line="189" w:lineRule="exact"/>
              <w:rPr>
                <w:sz w:val="20"/>
                <w:szCs w:val="20"/>
                <w:color w:val="auto"/>
              </w:rPr>
            </w:pPr>
            <w:r>
              <w:rPr>
                <w:rFonts w:ascii="Arial" w:cs="Arial" w:eastAsia="Arial" w:hAnsi="Arial"/>
                <w:sz w:val="17"/>
                <w:szCs w:val="17"/>
                <w:color w:val="auto"/>
              </w:rPr>
              <w:t>Schedule 5.08(a)(iv)</w:t>
            </w: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AbbVie Non-Exclusive Licensed Patents</w:t>
            </w:r>
          </w:p>
        </w:tc>
      </w:tr>
      <w:tr>
        <w:trPr>
          <w:trHeight w:val="190"/>
        </w:trPr>
        <w:tc>
          <w:tcPr>
            <w:tcW w:w="1400" w:type="dxa"/>
            <w:vAlign w:val="bottom"/>
            <w:tcBorders>
              <w:top w:val="single" w:sz="8" w:color="auto"/>
              <w:bottom w:val="single" w:sz="8" w:color="auto"/>
            </w:tcBorders>
            <w:gridSpan w:val="11"/>
          </w:tcPr>
          <w:p>
            <w:pPr>
              <w:spacing w:after="0" w:line="189" w:lineRule="exact"/>
              <w:rPr>
                <w:sz w:val="20"/>
                <w:szCs w:val="20"/>
                <w:color w:val="auto"/>
              </w:rPr>
            </w:pPr>
            <w:r>
              <w:rPr>
                <w:rFonts w:ascii="Arial" w:cs="Arial" w:eastAsia="Arial" w:hAnsi="Arial"/>
                <w:sz w:val="17"/>
                <w:szCs w:val="17"/>
                <w:color w:val="auto"/>
                <w:w w:val="92"/>
              </w:rPr>
              <w:t>Schedule 5.08(a)(v)</w:t>
            </w:r>
          </w:p>
        </w:tc>
        <w:tc>
          <w:tcPr>
            <w:tcW w:w="40" w:type="dxa"/>
            <w:vAlign w:val="bottom"/>
            <w:tcBorders>
              <w:top w:val="single" w:sz="8" w:color="auto"/>
            </w:tcBorders>
            <w:gridSpan w:val="2"/>
          </w:tcPr>
          <w:p>
            <w:pPr>
              <w:spacing w:after="0"/>
              <w:rPr>
                <w:sz w:val="16"/>
                <w:szCs w:val="16"/>
                <w:color w:val="auto"/>
              </w:rPr>
            </w:pPr>
          </w:p>
        </w:tc>
        <w:tc>
          <w:tcPr>
            <w:tcW w:w="340" w:type="dxa"/>
            <w:vAlign w:val="bottom"/>
            <w:gridSpan w:val="2"/>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AbbVie Co-Exclusive Licensed Patents</w:t>
            </w:r>
          </w:p>
        </w:tc>
      </w:tr>
      <w:tr>
        <w:trPr>
          <w:trHeight w:val="190"/>
        </w:trPr>
        <w:tc>
          <w:tcPr>
            <w:tcW w:w="10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6.03</w:t>
            </w:r>
          </w:p>
        </w:tc>
        <w:tc>
          <w:tcPr>
            <w:tcW w:w="760" w:type="dxa"/>
            <w:vAlign w:val="bottom"/>
            <w:gridSpan w:val="11"/>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Stored Records</w:t>
            </w:r>
          </w:p>
        </w:tc>
      </w:tr>
      <w:tr>
        <w:trPr>
          <w:trHeight w:val="190"/>
        </w:trPr>
        <w:tc>
          <w:tcPr>
            <w:tcW w:w="10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6.06</w:t>
            </w:r>
          </w:p>
        </w:tc>
        <w:tc>
          <w:tcPr>
            <w:tcW w:w="760" w:type="dxa"/>
            <w:vAlign w:val="bottom"/>
            <w:gridSpan w:val="11"/>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Production of Witnesses; Records; Cooperation</w:t>
            </w:r>
          </w:p>
        </w:tc>
      </w:tr>
      <w:tr>
        <w:trPr>
          <w:trHeight w:val="190"/>
        </w:trPr>
        <w:tc>
          <w:tcPr>
            <w:tcW w:w="102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1"/>
              </w:rPr>
              <w:t>Schedule 7.01</w:t>
            </w:r>
          </w:p>
        </w:tc>
        <w:tc>
          <w:tcPr>
            <w:tcW w:w="760" w:type="dxa"/>
            <w:vAlign w:val="bottom"/>
            <w:gridSpan w:val="11"/>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Alternative Dispute Resolution Procedures</w:t>
            </w:r>
          </w:p>
        </w:tc>
      </w:tr>
      <w:tr>
        <w:trPr>
          <w:trHeight w:val="190"/>
        </w:trPr>
        <w:tc>
          <w:tcPr>
            <w:tcW w:w="10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0"/>
              </w:rPr>
              <w:t>Schedule 9.16</w:t>
            </w:r>
          </w:p>
        </w:tc>
        <w:tc>
          <w:tcPr>
            <w:tcW w:w="780" w:type="dxa"/>
            <w:vAlign w:val="bottom"/>
            <w:gridSpan w:val="12"/>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Public Announcements</w:t>
            </w:r>
          </w:p>
        </w:tc>
      </w:tr>
      <w:tr>
        <w:trPr>
          <w:trHeight w:val="399"/>
        </w:trPr>
        <w:tc>
          <w:tcPr>
            <w:tcW w:w="1780" w:type="dxa"/>
            <w:vAlign w:val="bottom"/>
            <w:gridSpan w:val="15"/>
          </w:tcPr>
          <w:p>
            <w:pPr>
              <w:spacing w:after="0"/>
              <w:rPr>
                <w:sz w:val="20"/>
                <w:szCs w:val="20"/>
                <w:color w:val="auto"/>
              </w:rPr>
            </w:pPr>
            <w:r>
              <w:rPr>
                <w:rFonts w:ascii="Arial" w:cs="Arial" w:eastAsia="Arial" w:hAnsi="Arial"/>
                <w:sz w:val="17"/>
                <w:szCs w:val="17"/>
                <w:color w:val="auto"/>
              </w:rPr>
              <w:t>Exhibits</w:t>
            </w:r>
          </w:p>
        </w:tc>
        <w:tc>
          <w:tcPr>
            <w:tcW w:w="968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399"/>
        </w:trPr>
        <w:tc>
          <w:tcPr>
            <w:tcW w:w="1780" w:type="dxa"/>
            <w:vAlign w:val="bottom"/>
            <w:gridSpan w:val="15"/>
          </w:tcPr>
          <w:p>
            <w:pPr>
              <w:spacing w:after="0"/>
              <w:rPr>
                <w:sz w:val="20"/>
                <w:szCs w:val="20"/>
                <w:color w:val="auto"/>
              </w:rPr>
            </w:pPr>
            <w:r>
              <w:rPr>
                <w:rFonts w:ascii="Arial" w:cs="Arial" w:eastAsia="Arial" w:hAnsi="Arial"/>
                <w:sz w:val="17"/>
                <w:szCs w:val="17"/>
                <w:color w:val="auto"/>
              </w:rPr>
              <w:t>Exhibit A</w:t>
            </w:r>
          </w:p>
        </w:tc>
        <w:tc>
          <w:tcPr>
            <w:tcW w:w="9680" w:type="dxa"/>
            <w:vAlign w:val="bottom"/>
          </w:tcPr>
          <w:p>
            <w:pPr>
              <w:ind w:left="340"/>
              <w:spacing w:after="0"/>
              <w:rPr>
                <w:sz w:val="20"/>
                <w:szCs w:val="20"/>
                <w:color w:val="auto"/>
              </w:rPr>
            </w:pPr>
            <w:r>
              <w:rPr>
                <w:rFonts w:ascii="Arial" w:cs="Arial" w:eastAsia="Arial" w:hAnsi="Arial"/>
                <w:sz w:val="17"/>
                <w:szCs w:val="17"/>
                <w:color w:val="auto"/>
              </w:rPr>
              <w:t>Form of Amended and Restated Bylaws of AbbVie</w:t>
            </w:r>
          </w:p>
        </w:tc>
      </w:tr>
      <w:tr>
        <w:trPr>
          <w:trHeight w:val="190"/>
        </w:trPr>
        <w:tc>
          <w:tcPr>
            <w:tcW w:w="680" w:type="dxa"/>
            <w:vAlign w:val="bottom"/>
            <w:tcBorders>
              <w:top w:val="single" w:sz="8" w:color="auto"/>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98"/>
              </w:rPr>
              <w:t>Exhibit B</w:t>
            </w:r>
          </w:p>
        </w:tc>
        <w:tc>
          <w:tcPr>
            <w:tcW w:w="1100" w:type="dxa"/>
            <w:vAlign w:val="bottom"/>
            <w:gridSpan w:val="13"/>
          </w:tcPr>
          <w:p>
            <w:pPr>
              <w:spacing w:after="0"/>
              <w:rPr>
                <w:sz w:val="16"/>
                <w:szCs w:val="16"/>
                <w:color w:val="auto"/>
              </w:rPr>
            </w:pPr>
          </w:p>
        </w:tc>
        <w:tc>
          <w:tcPr>
            <w:tcW w:w="9680" w:type="dxa"/>
            <w:vAlign w:val="bottom"/>
          </w:tcPr>
          <w:p>
            <w:pPr>
              <w:ind w:left="340"/>
              <w:spacing w:after="0" w:line="189" w:lineRule="exact"/>
              <w:rPr>
                <w:sz w:val="20"/>
                <w:szCs w:val="20"/>
                <w:color w:val="auto"/>
              </w:rPr>
            </w:pPr>
            <w:r>
              <w:rPr>
                <w:rFonts w:ascii="Arial" w:cs="Arial" w:eastAsia="Arial" w:hAnsi="Arial"/>
                <w:sz w:val="17"/>
                <w:szCs w:val="17"/>
                <w:color w:val="auto"/>
              </w:rPr>
              <w:t>Form of Amended and Restated Certificate of Incorporation of AbbVie</w:t>
            </w:r>
          </w:p>
        </w:tc>
      </w:tr>
      <w:tr>
        <w:trPr>
          <w:trHeight w:val="43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80" w:type="dxa"/>
            <w:vAlign w:val="bottom"/>
          </w:tcPr>
          <w:p>
            <w:pPr>
              <w:ind w:left="3860"/>
              <w:spacing w:after="0"/>
              <w:rPr>
                <w:sz w:val="20"/>
                <w:szCs w:val="20"/>
                <w:color w:val="auto"/>
              </w:rPr>
            </w:pPr>
            <w:r>
              <w:rPr>
                <w:rFonts w:ascii="Arial" w:cs="Arial" w:eastAsia="Arial" w:hAnsi="Arial"/>
                <w:sz w:val="17"/>
                <w:szCs w:val="17"/>
                <w:color w:val="auto"/>
              </w:rPr>
              <w:t>iv</w:t>
            </w:r>
          </w:p>
        </w:tc>
      </w:tr>
      <w:tr>
        <w:trPr>
          <w:trHeight w:val="128"/>
        </w:trPr>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THIS SEPARATION AND DISTRIBUTION AGREEMENT, dated as of [·], 2012,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 E C I T A L S:</w:t>
      </w:r>
    </w:p>
    <w:p>
      <w:pPr>
        <w:spacing w:after="0" w:line="224" w:lineRule="exact"/>
        <w:rPr>
          <w:sz w:val="20"/>
          <w:szCs w:val="20"/>
          <w:color w:val="auto"/>
        </w:rPr>
      </w:pPr>
    </w:p>
    <w:p>
      <w:pPr>
        <w:jc w:val="both"/>
        <w:ind w:right="40" w:firstLine="1259"/>
        <w:spacing w:after="0" w:line="290" w:lineRule="auto"/>
        <w:rPr>
          <w:sz w:val="20"/>
          <w:szCs w:val="20"/>
          <w:color w:val="auto"/>
        </w:rPr>
      </w:pPr>
      <w:r>
        <w:rPr>
          <w:rFonts w:ascii="Arial" w:cs="Arial" w:eastAsia="Arial" w:hAnsi="Arial"/>
          <w:sz w:val="16"/>
          <w:szCs w:val="16"/>
          <w:color w:val="auto"/>
        </w:rPr>
        <w:t>WHEREAS, the board of directors of Abbott has determined that it is appropriate and advisable to: (i) separate the AbbVie Business (as defined herein) from the Abbott Business (as defined herein) (the “</w:t>
      </w:r>
      <w:r>
        <w:rPr>
          <w:rFonts w:ascii="Arial" w:cs="Arial" w:eastAsia="Arial" w:hAnsi="Arial"/>
          <w:sz w:val="16"/>
          <w:szCs w:val="16"/>
          <w:u w:val="single" w:color="auto"/>
          <w:color w:val="auto"/>
        </w:rPr>
        <w:t>Separation</w:t>
      </w:r>
      <w:r>
        <w:rPr>
          <w:rFonts w:ascii="Arial" w:cs="Arial" w:eastAsia="Arial" w:hAnsi="Arial"/>
          <w:sz w:val="16"/>
          <w:szCs w:val="16"/>
          <w:color w:val="auto"/>
        </w:rPr>
        <w:t>”); and (ii) following the Separation, make a distribution, on a pro rata basis, to holders of the outstanding common shares, without par value, of Abbott (the “</w:t>
      </w:r>
      <w:r>
        <w:rPr>
          <w:rFonts w:ascii="Arial" w:cs="Arial" w:eastAsia="Arial" w:hAnsi="Arial"/>
          <w:sz w:val="16"/>
          <w:szCs w:val="16"/>
          <w:u w:val="single" w:color="auto"/>
          <w:color w:val="auto"/>
        </w:rPr>
        <w:t>Abbott Common Shares</w:t>
      </w:r>
      <w:r>
        <w:rPr>
          <w:rFonts w:ascii="Arial" w:cs="Arial" w:eastAsia="Arial" w:hAnsi="Arial"/>
          <w:sz w:val="16"/>
          <w:szCs w:val="16"/>
          <w:color w:val="auto"/>
        </w:rPr>
        <w:t>”) on the Record Date (as defined herein) of all of the outstanding shares of common stock, par value $0.01 per share, of AbbVie (the “</w:t>
      </w:r>
      <w:r>
        <w:rPr>
          <w:rFonts w:ascii="Arial" w:cs="Arial" w:eastAsia="Arial" w:hAnsi="Arial"/>
          <w:sz w:val="16"/>
          <w:szCs w:val="16"/>
          <w:u w:val="single" w:color="auto"/>
          <w:color w:val="auto"/>
        </w:rPr>
        <w:t>AbbVie Common Stock</w:t>
      </w:r>
      <w:r>
        <w:rPr>
          <w:rFonts w:ascii="Arial" w:cs="Arial" w:eastAsia="Arial" w:hAnsi="Arial"/>
          <w:sz w:val="16"/>
          <w:szCs w:val="16"/>
          <w:color w:val="auto"/>
        </w:rPr>
        <w:t>”), owned by Abbott (the “</w:t>
      </w:r>
      <w:r>
        <w:rPr>
          <w:rFonts w:ascii="Arial" w:cs="Arial" w:eastAsia="Arial" w:hAnsi="Arial"/>
          <w:sz w:val="16"/>
          <w:szCs w:val="16"/>
          <w:u w:val="single" w:color="auto"/>
          <w:color w:val="auto"/>
        </w:rPr>
        <w:t>Distribution</w:t>
      </w:r>
      <w:r>
        <w:rPr>
          <w:rFonts w:ascii="Arial" w:cs="Arial" w:eastAsia="Arial" w:hAnsi="Arial"/>
          <w:sz w:val="16"/>
          <w:szCs w:val="16"/>
          <w:color w:val="auto"/>
        </w:rPr>
        <w:t>”); and</w:t>
      </w:r>
    </w:p>
    <w:p>
      <w:pPr>
        <w:spacing w:after="0" w:line="159"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WHEREAS, each of Abbott and AbbVie has determined that it is necessary and advisable to set forth the principal transactions required to effect the Separation and the Distribution and to describe other agreements that shall govern certain other matters prior to and following the Separation and the Distribution.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(as defined herein),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 (as defined herein) hereby agree as follows: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Reference is made to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regarding the interpretation of certain words and phrases used in this Agreement. In addition, for the purpose of this Agreement, the following terms shall have the meanings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Accounts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Assets</w:t>
      </w:r>
      <w:r>
        <w:rPr>
          <w:rFonts w:ascii="Arial" w:cs="Arial" w:eastAsia="Arial" w:hAnsi="Arial"/>
          <w:sz w:val="17"/>
          <w:szCs w:val="17"/>
          <w:color w:val="auto"/>
        </w:rPr>
        <w:t>” means all Assets of the Parties or their respective Subsidiaries as of the Effective Time, other than the AbbVie Assets.</w:t>
      </w:r>
    </w:p>
    <w:p>
      <w:pPr>
        <w:spacing w:after="0" w:line="224" w:lineRule="exact"/>
        <w:rPr>
          <w:sz w:val="20"/>
          <w:szCs w:val="20"/>
          <w:color w:val="auto"/>
        </w:rPr>
      </w:pPr>
    </w:p>
    <w:p>
      <w:pPr>
        <w:ind w:right="48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Abbott Business</w:t>
      </w:r>
      <w:r>
        <w:rPr>
          <w:rFonts w:ascii="Arial" w:cs="Arial" w:eastAsia="Arial" w:hAnsi="Arial"/>
          <w:sz w:val="15"/>
          <w:szCs w:val="15"/>
          <w:color w:val="auto"/>
        </w:rPr>
        <w:t>” means all businesses, operations and activities (whether or not such businesses, operations or activities are or have been terminated, divested or discontinued) conducted at any time prior to the Effective Time by either Party or its Subsidiaries, other than the AbbVie Business.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Common Shares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right="5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Credit Facility</w:t>
      </w:r>
      <w:r>
        <w:rPr>
          <w:rFonts w:ascii="Arial" w:cs="Arial" w:eastAsia="Arial" w:hAnsi="Arial"/>
          <w:sz w:val="17"/>
          <w:szCs w:val="17"/>
          <w:color w:val="auto"/>
        </w:rPr>
        <w:t>” means the Five Year Credit Agreement, dated as of July 18, 2012, by and among Abbott Laboratories, an Illinois corporation,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Indemnitees</w:t>
      </w:r>
      <w:r>
        <w:rPr>
          <w:rFonts w:ascii="Arial" w:cs="Arial" w:eastAsia="Arial" w:hAnsi="Arial"/>
          <w:sz w:val="17"/>
          <w:szCs w:val="17"/>
          <w:color w:val="auto"/>
        </w:rPr>
        <w:t>” means (i) Abbott and each Abbott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ectPr>
          <w:pgSz w:w="11900" w:h="16857" w:orient="portrait"/>
          <w:cols w:equalWidth="0" w:num="1">
            <w:col w:w="11460"/>
          </w:cols>
          <w:pgMar w:left="240" w:top="114" w:right="199" w:bottom="0" w:gutter="0" w:footer="0" w:header="0"/>
        </w:sectPr>
      </w:pPr>
    </w:p>
    <w:bookmarkStart w:id="10" w:name="page11"/>
    <w:bookmarkEnd w:id="10"/>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pacing w:after="0" w:line="158" w:lineRule="exact"/>
        <w:rPr>
          <w:sz w:val="20"/>
          <w:szCs w:val="20"/>
          <w:color w:val="auto"/>
        </w:rPr>
      </w:pPr>
    </w:p>
    <w:p>
      <w:pPr>
        <w:ind w:left="2540" w:hanging="647"/>
        <w:spacing w:after="0"/>
        <w:tabs>
          <w:tab w:leader="none" w:pos="2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Abbott Liability;</w:t>
      </w:r>
    </w:p>
    <w:p>
      <w:pPr>
        <w:spacing w:after="0" w:line="224" w:lineRule="exact"/>
        <w:rPr>
          <w:rFonts w:ascii="Arial" w:cs="Arial" w:eastAsia="Arial" w:hAnsi="Arial"/>
          <w:sz w:val="17"/>
          <w:szCs w:val="17"/>
          <w:color w:val="auto"/>
        </w:rPr>
      </w:pPr>
    </w:p>
    <w:p>
      <w:pPr>
        <w:ind w:left="640" w:right="20" w:firstLine="1253"/>
        <w:spacing w:after="0" w:line="289" w:lineRule="auto"/>
        <w:tabs>
          <w:tab w:leader="none" w:pos="2558"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failure of Abbott or an Abbott Subsidiary or any other Person to pay, perform or otherwise promptly discharge any Abbott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640" w:right="120" w:firstLine="1253"/>
        <w:spacing w:after="0" w:line="289" w:lineRule="auto"/>
        <w:tabs>
          <w:tab w:leader="none" w:pos="256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 Abbott Subsidiary from and after the Effective Time (other than the conduct of business, operations, or activities for the benefit of AbbVie pursuant to an Ancillary Agreement);</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breach by Abbott or an Abbott Subsidiary of this Agreement or any Ancillary Agreement; and</w:t>
      </w:r>
    </w:p>
    <w:p>
      <w:pPr>
        <w:spacing w:after="0" w:line="224" w:lineRule="exact"/>
        <w:rPr>
          <w:rFonts w:ascii="Arial" w:cs="Arial" w:eastAsia="Arial" w:hAnsi="Arial"/>
          <w:sz w:val="17"/>
          <w:szCs w:val="17"/>
          <w:color w:val="auto"/>
        </w:rPr>
      </w:pPr>
    </w:p>
    <w:p>
      <w:pPr>
        <w:ind w:left="640" w:right="80" w:firstLine="1253"/>
        <w:spacing w:after="0" w:line="283" w:lineRule="auto"/>
        <w:tabs>
          <w:tab w:leader="none" w:pos="25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made explicitly in Abbott’s name in the Registration Statement or the Information Statement as the same may be amended prior to the Effective Time, or any omission or alleged omission to state a material fact necessary to make any such statement made explicitly in Abbott’s name not misleading; it being agreed that the information relating to Abbott and the Abbott Subsidiaries set forth in the Registration Statement and the Information Statement that is described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shall be the only information that is made explicitly in Abbott’s name for purposes of this clause (v), and all other information contained in the Registration Statement and the Information Statement shall be deemed to be information supplied by AbbVie.</w:t>
      </w:r>
    </w:p>
    <w:p>
      <w:pPr>
        <w:spacing w:after="0" w:line="167" w:lineRule="exact"/>
        <w:rPr>
          <w:sz w:val="20"/>
          <w:szCs w:val="20"/>
          <w:color w:val="auto"/>
        </w:rPr>
      </w:pPr>
    </w:p>
    <w:p>
      <w:pPr>
        <w:ind w:right="2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Liabilities</w:t>
      </w:r>
      <w:r>
        <w:rPr>
          <w:rFonts w:ascii="Arial" w:cs="Arial" w:eastAsia="Arial" w:hAnsi="Arial"/>
          <w:sz w:val="17"/>
          <w:szCs w:val="17"/>
          <w:color w:val="auto"/>
        </w:rPr>
        <w:t>” means the Liabilities relating to, arising out of or resulting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of Abbott and the Abbott Subsidiaries and, prior to the Effective Time, AbbVie and the AbbVie Subsidiaries, in each case that are not AbbVie Liabilities or AbbVie Indemnity Obligations.</w:t>
      </w:r>
    </w:p>
    <w:p>
      <w:pPr>
        <w:spacing w:after="0" w:line="176"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Subsidiary</w:t>
      </w:r>
      <w:r>
        <w:rPr>
          <w:rFonts w:ascii="Arial" w:cs="Arial" w:eastAsia="Arial" w:hAnsi="Arial"/>
          <w:sz w:val="17"/>
          <w:szCs w:val="17"/>
          <w:color w:val="auto"/>
        </w:rPr>
        <w:t>” means any Business Entity that is a Subsidiary of Abbott prior to, at or after the Effective Time (other than AbbVie or an AbbVie Subsidiary).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Accounts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Assets</w:t>
      </w:r>
      <w:r>
        <w:rPr>
          <w:rFonts w:ascii="Arial" w:cs="Arial" w:eastAsia="Arial" w:hAnsi="Arial"/>
          <w:sz w:val="17"/>
          <w:szCs w:val="17"/>
          <w:color w:val="auto"/>
        </w:rPr>
        <w:t>” means only the following Assets: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20" w:firstLine="1253"/>
        <w:spacing w:after="0" w:line="273" w:lineRule="auto"/>
        <w:tabs>
          <w:tab w:leader="none" w:pos="2548"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of the issued and outstanding capital stock or other equity interests of the Transferred Entities that are owned by either Party or any of its Subsidiaries as of the Effective Time or, in the case of a Transferred Entity formed after the Effective Time, as of the date on which such Transferred Entity is transferred from Abbott or an Abbott Subsidiary to AbbVie or an AbbVie Subsidiary;</w:t>
      </w:r>
    </w:p>
    <w:p>
      <w:pPr>
        <w:spacing w:after="0" w:line="171" w:lineRule="exact"/>
        <w:rPr>
          <w:rFonts w:ascii="Arial" w:cs="Arial" w:eastAsia="Arial" w:hAnsi="Arial"/>
          <w:sz w:val="17"/>
          <w:szCs w:val="17"/>
          <w:color w:val="auto"/>
        </w:rPr>
      </w:pPr>
    </w:p>
    <w:p>
      <w:pPr>
        <w:ind w:left="640" w:right="140" w:firstLine="1253"/>
        <w:spacing w:after="0" w:line="308" w:lineRule="auto"/>
        <w:tabs>
          <w:tab w:leader="none" w:pos="2558"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Assets of either Party or any of its Subsidiaries as of the Effective Time included or reflected on the AbbVie Pro Forma Balance Sheet or any notes or subledgers thereto, it being understood that (x) the AbbVie Pro Forma Balance Sheet and the notes and subledgers thereto shall be used to determine the types of, and methodologies used to determine, those Assets that are included in the definition of AbbVie Assets pursuant to this subclause (ii); and (y) the amounts set forth on the AbbVie Pro Forma Balance Sheet with respect to any Assets shall not be treated as minimum amounts or limitations on the amount of such Assets that are included in the definition of AbbVie Assets pursuant to this subclause (ii);</w:t>
      </w:r>
    </w:p>
    <w:p>
      <w:pPr>
        <w:spacing w:after="0" w:line="151" w:lineRule="exact"/>
        <w:rPr>
          <w:rFonts w:ascii="Arial" w:cs="Arial" w:eastAsia="Arial" w:hAnsi="Arial"/>
          <w:sz w:val="15"/>
          <w:szCs w:val="15"/>
          <w:color w:val="auto"/>
        </w:rPr>
      </w:pPr>
    </w:p>
    <w:p>
      <w:pPr>
        <w:ind w:left="640" w:right="20" w:firstLine="1253"/>
        <w:spacing w:after="0" w:line="303" w:lineRule="auto"/>
        <w:tabs>
          <w:tab w:leader="none" w:pos="2567" w:val="left"/>
        </w:tabs>
        <w:numPr>
          <w:ilvl w:val="0"/>
          <w:numId w:val="4"/>
        </w:numPr>
        <w:rPr>
          <w:rFonts w:ascii="Arial" w:cs="Arial" w:eastAsia="Arial" w:hAnsi="Arial"/>
          <w:sz w:val="15"/>
          <w:szCs w:val="15"/>
          <w:color w:val="auto"/>
        </w:rPr>
      </w:pPr>
      <w:r>
        <w:rPr>
          <w:rFonts w:ascii="Arial" w:cs="Arial" w:eastAsia="Arial" w:hAnsi="Arial"/>
          <w:sz w:val="15"/>
          <w:szCs w:val="15"/>
          <w:color w:val="auto"/>
        </w:rPr>
        <w:t>all other Assets of either Party or any of its Subsidiaries as of the Effective Time that are of a nature or type that would have resulted in such Assets being included as Assets on a pro forma combined balance sheet of AbbVie or any notes or subledgers thereto as of the Effective Time (were such balance sheet, notes and subledgers to be prepared on a basis consistent with the determination of the Assets included on the AbbVie Pro Forma Balance Sheet or any notes or subledgers thereto), it being understood that (x) the AbbVie Pro Forma Balance Sheet and the notes and subledgers thereto shall be used to determine the types of, and methodologies used to determine, those Assets that are included in the definition of AbbVie Assets pursuant to this subclause (iii); and (y) the amounts set forth on the AbbVie Pro Forma Balance Sheet with respect to any Assets shall not be treated as minimum amounts or limitations on the amount of such Assets that are included in the definition of AbbVie Assets pursuant to this subclause (iii);</w:t>
      </w:r>
    </w:p>
    <w:p>
      <w:pPr>
        <w:spacing w:after="0" w:line="153" w:lineRule="exact"/>
        <w:rPr>
          <w:rFonts w:ascii="Arial" w:cs="Arial" w:eastAsia="Arial" w:hAnsi="Arial"/>
          <w:sz w:val="15"/>
          <w:szCs w:val="15"/>
          <w:color w:val="auto"/>
        </w:rPr>
      </w:pPr>
    </w:p>
    <w:p>
      <w:pPr>
        <w:ind w:left="640" w:right="60" w:firstLine="1253"/>
        <w:spacing w:after="0" w:line="298" w:lineRule="auto"/>
        <w:tabs>
          <w:tab w:leader="none" w:pos="25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Assets expressly allocated to AbbVie or an AbbVie Subsidiary pursuant to this Agreement or any Ancillary Agreement, including (a) the rights to the Special Products that are allocated to AbbVie or an AbbVie Subsidiary pursuant to the Special Products Master Agreement; and (b) any rights that are allocated to AbbVie or an AbbVie Subsidiary pursuant to any International Transition Period Agreement;</w:t>
      </w:r>
    </w:p>
    <w:p>
      <w:pPr>
        <w:spacing w:after="0" w:line="153" w:lineRule="exact"/>
        <w:rPr>
          <w:rFonts w:ascii="Arial" w:cs="Arial" w:eastAsia="Arial" w:hAnsi="Arial"/>
          <w:sz w:val="16"/>
          <w:szCs w:val="16"/>
          <w:color w:val="auto"/>
        </w:rPr>
      </w:pPr>
    </w:p>
    <w:p>
      <w:pPr>
        <w:ind w:left="640" w:firstLine="1253"/>
        <w:spacing w:after="0" w:line="262" w:lineRule="auto"/>
        <w:tabs>
          <w:tab w:leader="none" w:pos="253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all rights, interests and claims of either Party or any of its Subsidiaries as of the Effective Time to the Exclusive AbbVie Products, including all rights, interests and claims of either Party or any of its Subsidiaries as of the Effective Time to all clinical study data, reports and analyses, product and marketing registrations and applications (which shall include all U.S. Food and Drug Administration and other regulatory drug approvals and licenses related to, and all related applications and other information submitted for the purposes of or prepared in connection with obtaining an approval for, an Exclusive AbbVie Product) to the extent related to the Exclusive AbbVie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AbbVie Assets shall not include any rights, interests and claims of either Party or any of its Subsidiaries as of the Effective Time related to Sevoflurane or Isoflurane within the Veterinary Field-of-Use;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rights, interests and claims of either Party or any of its Subsidiaries as of the Effective Time under the AbbVie Contracts;</w:t>
      </w:r>
    </w:p>
    <w:p>
      <w:pPr>
        <w:spacing w:after="0" w:line="235" w:lineRule="exact"/>
        <w:rPr>
          <w:rFonts w:ascii="Arial" w:cs="Arial" w:eastAsia="Arial" w:hAnsi="Arial"/>
          <w:sz w:val="16"/>
          <w:szCs w:val="16"/>
          <w:color w:val="auto"/>
        </w:rPr>
      </w:pPr>
    </w:p>
    <w:p>
      <w:pPr>
        <w:ind w:left="2540" w:hanging="647"/>
        <w:spacing w:after="0"/>
        <w:tabs>
          <w:tab w:leader="none" w:pos="2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rights, interests and claims of either Party or any of its Subsidiaries as of the Effective Time to any AbbVie Intellectual</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w:t>
      </w:r>
    </w:p>
    <w:p>
      <w:pPr>
        <w:sectPr>
          <w:pgSz w:w="11900" w:h="16838" w:orient="portrait"/>
          <w:cols w:equalWidth="0" w:num="1">
            <w:col w:w="11420"/>
          </w:cols>
          <w:pgMar w:left="240" w:top="337" w:right="239" w:bottom="0" w:gutter="0" w:footer="0" w:header="0"/>
        </w:sectPr>
      </w:pPr>
    </w:p>
    <w:bookmarkStart w:id="11" w:name="page12"/>
    <w:bookmarkEnd w:id="11"/>
    <w:p>
      <w:pPr>
        <w:ind w:left="640" w:right="220" w:firstLine="1253"/>
        <w:spacing w:after="0" w:line="268" w:lineRule="auto"/>
        <w:tabs>
          <w:tab w:leader="none" w:pos="2562"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other rights, interests and claims of either Party or any of their Subsidiaries as of the Effective Time with respect to Information that is exclusively related to the AbbVie Assets, the AbbVie Liabilities, the AbbVie Business or the Transferred Entities and, subject to the provisions of the applicable Ancillary Agreements, a non-exclusive right to all Information that is related to the AbbVie Assets, the AbbVie Liabilities, the AbbVie Business or the Transferred Entities (but is not exclusively related to such matters);</w:t>
      </w:r>
    </w:p>
    <w:p>
      <w:pPr>
        <w:spacing w:after="0" w:line="175" w:lineRule="exact"/>
        <w:rPr>
          <w:rFonts w:ascii="Arial" w:cs="Arial" w:eastAsia="Arial" w:hAnsi="Arial"/>
          <w:sz w:val="17"/>
          <w:szCs w:val="17"/>
          <w:color w:val="auto"/>
        </w:rPr>
      </w:pPr>
    </w:p>
    <w:p>
      <w:pPr>
        <w:ind w:left="640" w:right="720" w:firstLine="1253"/>
        <w:spacing w:after="0" w:line="289" w:lineRule="auto"/>
        <w:tabs>
          <w:tab w:leader="none" w:pos="2544"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all rights, interests and claims of either Party or any of its Subsidiaries as of the Effective Time to the manufacturing, distribution, warehouse or research and development facilities and other real property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Assets relating to, arising out of or resulting from the AbbVie Proceedings;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Assets of either Party or any of its Subsidiaries as of the Effective Time on </w:t>
      </w:r>
      <w:r>
        <w:rPr>
          <w:rFonts w:ascii="Arial" w:cs="Arial" w:eastAsia="Arial" w:hAnsi="Arial"/>
          <w:sz w:val="17"/>
          <w:szCs w:val="17"/>
          <w:u w:val="single" w:color="auto"/>
          <w:color w:val="auto"/>
        </w:rPr>
        <w:t>Schedule 1.01(c)</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The Parties agree that all Delayed AbbVie Assets shall be AbbVie Assets for purposes of this Agreement and the Ancillary Agreements regardless of when such Delayed AbbVie Assets are assumed by AbbVie or an AbbVie Subsidiary or designee. The Parties also agree that, if any Transferred Entity holds an Abbott Asset, such Abbott Asset shall nonetheless be treated as an Abbott Asset and the Parties shall, and shall cause their respective Subsidiaries to, use their commercially reasonable efforts for such Abbott Asset to be transferred to Abbott or an Abbott Subsidiary.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means:</w:t>
      </w:r>
    </w:p>
    <w:p>
      <w:pPr>
        <w:spacing w:after="0" w:line="224" w:lineRule="exact"/>
        <w:rPr>
          <w:sz w:val="20"/>
          <w:szCs w:val="20"/>
          <w:color w:val="auto"/>
        </w:rPr>
      </w:pPr>
    </w:p>
    <w:p>
      <w:pPr>
        <w:ind w:left="640" w:right="60" w:firstLine="1253"/>
        <w:spacing w:after="0" w:line="265" w:lineRule="auto"/>
        <w:tabs>
          <w:tab w:leader="none" w:pos="2548"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Exclusive AbbVie Products</w:t>
      </w:r>
      <w:r>
        <w:rPr>
          <w:rFonts w:ascii="Arial" w:cs="Arial" w:eastAsia="Arial" w:hAnsi="Arial"/>
          <w:sz w:val="17"/>
          <w:szCs w:val="17"/>
          <w:color w:val="auto"/>
        </w:rPr>
        <w:t>. The business, operations and activities conducted at any time prior to the Effective Time by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or any of its Subsidiaries relating to, arising out of or resulting from the Exclusive AbbVie Products (including the discovery, research, development, importation, exportation, manufacture, marketing, distribution, promotion and sale of such Exclusive AbbVie Products worldwide);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AbbVie Business shall not include the business, operations and activities relating to, arising out of or resulting from Sevoflurane or Isoflurane within the Veterinary Field-of-Use;</w:t>
      </w:r>
    </w:p>
    <w:p>
      <w:pPr>
        <w:spacing w:after="0" w:line="179" w:lineRule="exact"/>
        <w:rPr>
          <w:rFonts w:ascii="Arial" w:cs="Arial" w:eastAsia="Arial" w:hAnsi="Arial"/>
          <w:sz w:val="17"/>
          <w:szCs w:val="17"/>
          <w:color w:val="auto"/>
        </w:rPr>
      </w:pPr>
    </w:p>
    <w:p>
      <w:pPr>
        <w:ind w:left="640" w:right="340" w:firstLine="1253"/>
        <w:spacing w:after="0" w:line="360" w:lineRule="auto"/>
        <w:tabs>
          <w:tab w:leader="none" w:pos="2558"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Special Products. </w:t>
      </w:r>
      <w:r>
        <w:rPr>
          <w:rFonts w:ascii="Arial" w:cs="Arial" w:eastAsia="Arial" w:hAnsi="Arial"/>
          <w:sz w:val="15"/>
          <w:szCs w:val="15"/>
          <w:color w:val="auto"/>
        </w:rPr>
        <w:t>The business, operations and activities with respect to the Special Products, solely to the extent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rights to such business, operations and activities are allocated to AbbVie or an AbbVie Subsidiary under the Special Products Master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firstLine="1253"/>
        <w:spacing w:after="0" w:line="283" w:lineRule="auto"/>
        <w:tabs>
          <w:tab w:leader="none" w:pos="256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The business, operations and activities conducted at any time prior to the Effective Time by or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behalf of either Party or any of its Subsidiaries of: (a) discovery and research and development projects with respect to pharmaceutical products (except vaccines) for purposes of obtaining a first regulatory approval of a biological or a chemical pharmaceutical product; (b) pharmaceutical discovery and research and development (other than with respect to vaccines) conducted by or on behalf of GPRD; or (c) pharmaceutical manufacturing and supply chain discovery and research and development (other than with respect to vaccines) conducted by or on behalf of GPO, except, in each of cases (a), (b) and (c), for the discovery and research and development projects set forth on </w:t>
      </w:r>
      <w:r>
        <w:rPr>
          <w:rFonts w:ascii="Arial" w:cs="Arial" w:eastAsia="Arial" w:hAnsi="Arial"/>
          <w:sz w:val="16"/>
          <w:szCs w:val="16"/>
          <w:u w:val="single" w:color="auto"/>
          <w:color w:val="auto"/>
        </w:rPr>
        <w:t>Schedule 1.01(d)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640" w:right="300" w:firstLine="1253"/>
        <w:spacing w:after="0" w:line="273" w:lineRule="auto"/>
        <w:tabs>
          <w:tab w:leader="none" w:pos="25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Contract Manufacturing</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5.01</w:t>
      </w:r>
      <w:r>
        <w:rPr>
          <w:rFonts w:ascii="Arial" w:cs="Arial" w:eastAsia="Arial" w:hAnsi="Arial"/>
          <w:sz w:val="17"/>
          <w:szCs w:val="17"/>
          <w:color w:val="auto"/>
        </w:rPr>
        <w:t>, the business, operations and activities conducted at any time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Time by either Party or any of its Subsidiaries of manufacturing for any Third Party products at the manufacturing plants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1.01(b)</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640" w:right="60" w:firstLine="1253"/>
        <w:spacing w:after="0" w:line="268" w:lineRule="auto"/>
        <w:tabs>
          <w:tab w:leader="none" w:pos="25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AbbVie Former Businesses, AbbVie Discontinued Products, AbbVie Discontinued Projects and AbbVie Discontinued Facilities. </w:t>
      </w:r>
      <w:r>
        <w:rPr>
          <w:rFonts w:ascii="Arial" w:cs="Arial" w:eastAsia="Arial" w:hAnsi="Arial"/>
          <w:sz w:val="17"/>
          <w:szCs w:val="17"/>
          <w:color w:val="auto"/>
        </w:rPr>
        <w:t>The business, operations and activities conducted at any time prior to the Effective Time by either Party or any of its Subsidiaries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such business, operations and activities relate to, arise out of or result from an AbbVie Former Business, an AbbVie Discontinued Product, an AbbVie Discontinued Project or an AbbVie Discontinued Facility.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Cash Distribution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2.08(c)</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Common Stock</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jc w:val="both"/>
        <w:ind w:right="1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Contracts</w:t>
      </w:r>
      <w:r>
        <w:rPr>
          <w:rFonts w:ascii="Arial" w:cs="Arial" w:eastAsia="Arial" w:hAnsi="Arial"/>
          <w:sz w:val="17"/>
          <w:szCs w:val="17"/>
          <w:color w:val="auto"/>
        </w:rPr>
        <w:t xml:space="preserve">” means the following contracts, agreements, arrangements, commitments or understandings to which either Party or any of its Subsidiaries is a party or by which it or its Assets is bound, whether or not in writing, in each case, prior to the Effective Time, except to the extent otherwise described in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1.01(i)</w:t>
      </w:r>
      <w:r>
        <w:rPr>
          <w:rFonts w:ascii="Arial" w:cs="Arial" w:eastAsia="Arial" w:hAnsi="Arial"/>
          <w:sz w:val="17"/>
          <w:szCs w:val="17"/>
          <w:color w:val="auto"/>
        </w:rPr>
        <w:t>:</w:t>
      </w:r>
    </w:p>
    <w:p>
      <w:pPr>
        <w:spacing w:after="0" w:line="172" w:lineRule="exact"/>
        <w:rPr>
          <w:sz w:val="20"/>
          <w:szCs w:val="20"/>
          <w:color w:val="auto"/>
        </w:rPr>
      </w:pPr>
    </w:p>
    <w:p>
      <w:pPr>
        <w:jc w:val="both"/>
        <w:ind w:left="640" w:firstLine="1253"/>
        <w:spacing w:after="0" w:line="273" w:lineRule="auto"/>
        <w:tabs>
          <w:tab w:leader="none" w:pos="254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contract, agreement, arrangement, commitment or understanding referenced in the Contract Database as a “PCo Contract” and that portion of any contract, agreement, arrangement, commitment or understanding referenced in the Contract Database as “mixed” that relates to the AbbVie Business;</w:t>
      </w:r>
    </w:p>
    <w:p>
      <w:pPr>
        <w:spacing w:after="0" w:line="171" w:lineRule="exact"/>
        <w:rPr>
          <w:rFonts w:ascii="Arial" w:cs="Arial" w:eastAsia="Arial" w:hAnsi="Arial"/>
          <w:sz w:val="17"/>
          <w:szCs w:val="17"/>
          <w:color w:val="auto"/>
        </w:rPr>
      </w:pPr>
    </w:p>
    <w:p>
      <w:pPr>
        <w:ind w:left="640" w:right="40" w:firstLine="1253"/>
        <w:spacing w:after="0" w:line="308" w:lineRule="auto"/>
        <w:tabs>
          <w:tab w:leader="none" w:pos="2558"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contract, agreement, arrangement, commitment or understanding that was entered into after the time the Contract Database was compiled that is of a nature or type that would have resulted in such contract, agreement, arrangement, commitment or understanding being referenced in the Contract Database as a “PCo Contract” and that portion of any contract, agreement, arrangement, commitment or understanding that was entered into after the time the Contract Database was compiled that relates to the AbbVie Business and is of a nature or type that would have resulted in such contract, agreement, arrangement, commitment or understanding being referenced in the Contract Database as “mixed”;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140" w:firstLine="1253"/>
        <w:spacing w:after="0" w:line="283" w:lineRule="auto"/>
        <w:tabs>
          <w:tab w:leader="none" w:pos="25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any contract, agreement, arrangement, commitment or understanding of a Deferred AbbVie Local Business that is not included in the Contract Database and that is of a nature or type that would have resulted in such contract, agreement, arrangement, commitment or understanding being referenced in the Contract Database as a “PCo Contract” had it been included in the Contract Database; and (B) that portion of any contract, agreement, arrangement, commitment or understanding of a Deferred AbbVie Local Business that is not included in the Contract Database that relates to the AbbVie Business and is of a nature or type that would have resulted in such contract, agreement, arrangement, commitment or understanding being referenced in the Contract Database as “mixed” had it been included in the Contract Database;</w:t>
      </w:r>
    </w:p>
    <w:p>
      <w:pPr>
        <w:spacing w:after="0" w:line="166" w:lineRule="exact"/>
        <w:rPr>
          <w:rFonts w:ascii="Arial" w:cs="Arial" w:eastAsia="Arial" w:hAnsi="Arial"/>
          <w:sz w:val="16"/>
          <w:szCs w:val="16"/>
          <w:color w:val="auto"/>
        </w:rPr>
      </w:pPr>
    </w:p>
    <w:p>
      <w:pPr>
        <w:ind w:left="2540" w:hanging="647"/>
        <w:spacing w:after="0"/>
        <w:tabs>
          <w:tab w:leader="none" w:pos="2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contract, agreement, arrangement, commitment or understanding or portion thereof that is an AbbVie Liability;</w:t>
      </w:r>
    </w:p>
    <w:p>
      <w:pPr>
        <w:sectPr>
          <w:pgSz w:w="11900" w:h="16838" w:orient="portrait"/>
          <w:cols w:equalWidth="0" w:num="1">
            <w:col w:w="11420"/>
          </w:cols>
          <w:pgMar w:left="240" w:top="127" w:right="239" w:bottom="0" w:gutter="0" w:footer="0" w:header="0"/>
        </w:sectPr>
      </w:pPr>
    </w:p>
    <w:bookmarkStart w:id="12" w:name="page13"/>
    <w:bookmarkEnd w:id="12"/>
    <w:p>
      <w:pPr>
        <w:spacing w:after="0" w:line="54" w:lineRule="exact"/>
        <w:rPr>
          <w:sz w:val="20"/>
          <w:szCs w:val="20"/>
          <w:color w:val="auto"/>
        </w:rPr>
      </w:pPr>
    </w:p>
    <w:p>
      <w:pPr>
        <w:ind w:left="2520" w:hanging="627"/>
        <w:spacing w:after="0"/>
        <w:tabs>
          <w:tab w:leader="none" w:pos="2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contract, agreement, arrangement, commitment or understanding or portion thereof to the extent related to the AbbVie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Business;</w:t>
      </w:r>
    </w:p>
    <w:p>
      <w:pPr>
        <w:spacing w:after="0" w:line="212" w:lineRule="exact"/>
        <w:rPr>
          <w:sz w:val="20"/>
          <w:szCs w:val="20"/>
          <w:color w:val="auto"/>
        </w:rPr>
      </w:pPr>
    </w:p>
    <w:p>
      <w:pPr>
        <w:ind w:left="640" w:right="40" w:firstLine="1253"/>
        <w:spacing w:after="0" w:line="289" w:lineRule="auto"/>
        <w:tabs>
          <w:tab w:leader="none" w:pos="25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employment, change of control, retention, consulting, indemnification, termination, severance or other similar agreements with any employee or consultant of AbbVie or an AbbVie Subsidiary; and</w:t>
      </w:r>
    </w:p>
    <w:p>
      <w:pPr>
        <w:spacing w:after="0" w:line="158" w:lineRule="exact"/>
        <w:rPr>
          <w:rFonts w:ascii="Arial" w:cs="Arial" w:eastAsia="Arial" w:hAnsi="Arial"/>
          <w:sz w:val="17"/>
          <w:szCs w:val="17"/>
          <w:color w:val="auto"/>
        </w:rPr>
      </w:pPr>
    </w:p>
    <w:p>
      <w:pPr>
        <w:ind w:left="640" w:right="460" w:firstLine="1253"/>
        <w:spacing w:after="0" w:line="289" w:lineRule="auto"/>
        <w:tabs>
          <w:tab w:leader="none" w:pos="25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contract, agreement, arrangement, commitment or understanding or portion thereof that is otherwise expressly contemplated pursuant to this Agreement or any Ancillary Agreement to be assigned to AbbVie or an AbbVie Subsidiary;</w:t>
      </w:r>
    </w:p>
    <w:p>
      <w:pPr>
        <w:spacing w:after="0" w:line="158" w:lineRule="exact"/>
        <w:rPr>
          <w:sz w:val="20"/>
          <w:szCs w:val="20"/>
          <w:color w:val="auto"/>
        </w:rPr>
      </w:pPr>
    </w:p>
    <w:p>
      <w:pPr>
        <w:ind w:left="640" w:right="80"/>
        <w:spacing w:after="0" w:line="26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such contracts, agreements, arrangements, commitments or understandings or portions thereof that are contemplated to be retained by Abbott or an Abbott Subsidiary pursuant to any provision of this Agreement or any Ancillary Agreement shall not be AbbVie Contracts; (B) such contracts, agreements, arrangements, commitments or understandings or portions thereof that relate to debt instruments, insurance arrangements, or employee benefit plans or programs shall be AbbVie Contracts only to the extent expressly provided for under the terms of this Agreement or any Ancillary Agreement; and (C) the rights and obligations of Abbott and the Abbott Subsidiaries under this Agreement and the Ancillary Agreements shall not be AbbVie Contracts.</w:t>
      </w:r>
    </w:p>
    <w:p>
      <w:pPr>
        <w:spacing w:after="0" w:line="183" w:lineRule="exact"/>
        <w:rPr>
          <w:sz w:val="20"/>
          <w:szCs w:val="20"/>
          <w:color w:val="auto"/>
        </w:rPr>
      </w:pPr>
    </w:p>
    <w:p>
      <w:pPr>
        <w:ind w:right="4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Credit Facility</w:t>
      </w:r>
      <w:r>
        <w:rPr>
          <w:rFonts w:ascii="Arial" w:cs="Arial" w:eastAsia="Arial" w:hAnsi="Arial"/>
          <w:sz w:val="17"/>
          <w:szCs w:val="17"/>
          <w:color w:val="auto"/>
        </w:rPr>
        <w:t>” means the Five Year Credit Agreement, dated as of July 18, 2012, by and among Abbott Laboratories, an Illinois corporation, AbbVie Inc., a Delaware corporation, and Bank of America, N.A., as administrative agent.</w:t>
      </w:r>
    </w:p>
    <w:p>
      <w:pPr>
        <w:spacing w:after="0" w:line="158"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Facilities</w:t>
      </w:r>
      <w:r>
        <w:rPr>
          <w:rFonts w:ascii="Arial" w:cs="Arial" w:eastAsia="Arial" w:hAnsi="Arial"/>
          <w:sz w:val="17"/>
          <w:szCs w:val="17"/>
          <w:color w:val="auto"/>
        </w:rPr>
        <w:t xml:space="preserve">” means the closed or divested manufacturing, distribution, warehouse or research and development facilities or other real property operated prior to the Effective Time by either Party or any of its Subsidiaries that were solely or primarily related to the conduct of the pharmaceuticals business, operations and activities other than those set forth on </w:t>
      </w:r>
      <w:r>
        <w:rPr>
          <w:rFonts w:ascii="Arial" w:cs="Arial" w:eastAsia="Arial" w:hAnsi="Arial"/>
          <w:sz w:val="17"/>
          <w:szCs w:val="17"/>
          <w:u w:val="single" w:color="auto"/>
          <w:color w:val="auto"/>
        </w:rPr>
        <w:t>Schedule 1.01(e)</w:t>
      </w:r>
      <w:r>
        <w:rPr>
          <w:rFonts w:ascii="Arial" w:cs="Arial" w:eastAsia="Arial" w:hAnsi="Arial"/>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Products</w:t>
      </w:r>
      <w:r>
        <w:rPr>
          <w:rFonts w:ascii="Arial" w:cs="Arial" w:eastAsia="Arial" w:hAnsi="Arial"/>
          <w:sz w:val="17"/>
          <w:szCs w:val="17"/>
          <w:color w:val="auto"/>
        </w:rPr>
        <w:t xml:space="preserve">” means any pharmaceutical product that was, at any time prior to the Effective Time, owned, licensed by or to, sub-licensed by or to, manufactured, marketed, co-branded, co-promoted or otherwise promoted, distributed or sold anywhere in the world by or on behalf of either Party or any of its Subsidiaries, but in each case that, as of immediately prior to the Effective Time, neither Party nor any of their respective Subsidiaries is marketing, co-promoting, promoting, distributing or selling anywhere in the world (except pursuant to an agreement or arrangement with a Third Party who previously acquired any such promotion, distribution, commercialization or sale rights with respect to such product in specified jurisdictions throughout the world), other than those set forth on </w:t>
      </w:r>
      <w:r>
        <w:rPr>
          <w:rFonts w:ascii="Arial" w:cs="Arial" w:eastAsia="Arial" w:hAnsi="Arial"/>
          <w:sz w:val="17"/>
          <w:szCs w:val="17"/>
          <w:u w:val="single" w:color="auto"/>
          <w:color w:val="auto"/>
        </w:rPr>
        <w:t>Schedule 1.01(f)</w:t>
      </w:r>
      <w:r>
        <w:rPr>
          <w:rFonts w:ascii="Arial" w:cs="Arial" w:eastAsia="Arial" w:hAnsi="Arial"/>
          <w:sz w:val="17"/>
          <w:szCs w:val="17"/>
          <w:color w:val="auto"/>
        </w:rPr>
        <w:t>.</w:t>
      </w:r>
    </w:p>
    <w:p>
      <w:pPr>
        <w:spacing w:after="0" w:line="183" w:lineRule="exact"/>
        <w:rPr>
          <w:sz w:val="20"/>
          <w:szCs w:val="20"/>
          <w:color w:val="auto"/>
        </w:rPr>
      </w:pPr>
    </w:p>
    <w:p>
      <w:pPr>
        <w:jc w:val="both"/>
        <w:ind w:right="5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Discontinued Projects</w:t>
      </w:r>
      <w:r>
        <w:rPr>
          <w:rFonts w:ascii="Arial" w:cs="Arial" w:eastAsia="Arial" w:hAnsi="Arial"/>
          <w:sz w:val="17"/>
          <w:szCs w:val="17"/>
          <w:color w:val="auto"/>
        </w:rPr>
        <w:t xml:space="preserve">” means any discovery or research and development projects that were conducted at any time prior to the Effective Time by or on behalf of GPRD or GPO and that were terminated, divested or discontinued prior to the Effective Time by either Party or any of its Subsidiaries, other than those set forth on </w:t>
      </w:r>
      <w:r>
        <w:rPr>
          <w:rFonts w:ascii="Arial" w:cs="Arial" w:eastAsia="Arial" w:hAnsi="Arial"/>
          <w:sz w:val="17"/>
          <w:szCs w:val="17"/>
          <w:u w:val="single" w:color="auto"/>
          <w:color w:val="auto"/>
        </w:rPr>
        <w:t>Schedule 1.01(d)</w:t>
      </w:r>
      <w:r>
        <w:rPr>
          <w:rFonts w:ascii="Arial" w:cs="Arial" w:eastAsia="Arial" w:hAnsi="Arial"/>
          <w:sz w:val="17"/>
          <w:szCs w:val="17"/>
          <w:color w:val="auto"/>
        </w:rPr>
        <w:t>.</w:t>
      </w:r>
    </w:p>
    <w:p>
      <w:pPr>
        <w:spacing w:after="0" w:line="172"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Former Businesses</w:t>
      </w:r>
      <w:r>
        <w:rPr>
          <w:rFonts w:ascii="Arial" w:cs="Arial" w:eastAsia="Arial" w:hAnsi="Arial"/>
          <w:sz w:val="17"/>
          <w:szCs w:val="17"/>
          <w:color w:val="auto"/>
        </w:rPr>
        <w:t xml:space="preserve">” means (i) the Former Businesses set forth on </w:t>
      </w:r>
      <w:r>
        <w:rPr>
          <w:rFonts w:ascii="Arial" w:cs="Arial" w:eastAsia="Arial" w:hAnsi="Arial"/>
          <w:sz w:val="17"/>
          <w:szCs w:val="17"/>
          <w:u w:val="single" w:color="auto"/>
          <w:color w:val="auto"/>
        </w:rPr>
        <w:t>Schedule 1.01(g)</w:t>
      </w:r>
      <w:r>
        <w:rPr>
          <w:rFonts w:ascii="Arial" w:cs="Arial" w:eastAsia="Arial" w:hAnsi="Arial"/>
          <w:sz w:val="17"/>
          <w:szCs w:val="17"/>
          <w:color w:val="auto"/>
        </w:rPr>
        <w:t>; and (ii) any Former Business to the extent associated with, or to the extent engaged in the discovery, research, development, importation, exportation, manufacture, marketing, distribution, promotion or sale of an AbbVie Discontinued Product.</w:t>
      </w:r>
    </w:p>
    <w:p>
      <w:pPr>
        <w:spacing w:after="0" w:line="172" w:lineRule="exact"/>
        <w:rPr>
          <w:sz w:val="20"/>
          <w:szCs w:val="20"/>
          <w:color w:val="auto"/>
        </w:rPr>
      </w:pPr>
    </w:p>
    <w:p>
      <w:pPr>
        <w:ind w:right="1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Indemnitees</w:t>
      </w:r>
      <w:r>
        <w:rPr>
          <w:rFonts w:ascii="Arial" w:cs="Arial" w:eastAsia="Arial" w:hAnsi="Arial"/>
          <w:sz w:val="17"/>
          <w:szCs w:val="17"/>
          <w:color w:val="auto"/>
        </w:rPr>
        <w:t>” means (i) AbbVie and each AbbVie Subsidiary; (ii) each of the respective past, present and future directors, officers, employees or agents of the entities described in (i) above, in each case in their respective capacities as such; and (iii) each of the heirs, executors, administrators, successors and assigns of any of the foregoing.</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Indemnity Obligations</w:t>
      </w:r>
      <w:r>
        <w:rPr>
          <w:rFonts w:ascii="Arial" w:cs="Arial" w:eastAsia="Arial" w:hAnsi="Arial"/>
          <w:sz w:val="17"/>
          <w:szCs w:val="17"/>
          <w:color w:val="auto"/>
        </w:rPr>
        <w:t>” means all Liabilities to the extent such Liabilities relate to, arise out of or result from, directly or indirectly, any of the following items:</w:t>
      </w:r>
    </w:p>
    <w:p>
      <w:pPr>
        <w:spacing w:after="0" w:line="158" w:lineRule="exact"/>
        <w:rPr>
          <w:sz w:val="20"/>
          <w:szCs w:val="20"/>
          <w:color w:val="auto"/>
        </w:rPr>
      </w:pPr>
    </w:p>
    <w:p>
      <w:pPr>
        <w:ind w:left="2540" w:hanging="647"/>
        <w:spacing w:after="0"/>
        <w:tabs>
          <w:tab w:leader="none" w:pos="2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AbbVie Liability;</w:t>
      </w:r>
    </w:p>
    <w:p>
      <w:pPr>
        <w:spacing w:after="0" w:line="224" w:lineRule="exact"/>
        <w:rPr>
          <w:rFonts w:ascii="Arial" w:cs="Arial" w:eastAsia="Arial" w:hAnsi="Arial"/>
          <w:sz w:val="17"/>
          <w:szCs w:val="17"/>
          <w:color w:val="auto"/>
        </w:rPr>
      </w:pPr>
    </w:p>
    <w:p>
      <w:pPr>
        <w:ind w:left="640" w:right="420" w:firstLine="1253"/>
        <w:spacing w:after="0" w:line="289" w:lineRule="auto"/>
        <w:tabs>
          <w:tab w:leader="none" w:pos="25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failure of AbbVie or an AbbVie Subsidiary or any other Person to pay, perform or otherwise promptly discharge any AbbVie Liabilities in accordance with their terms, whether prior to, at or after the Effective Time;</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conduct of any business, operation or activity by AbbVie or an AbbVie Subsidiary from and after the Effective Time;</w:t>
      </w:r>
    </w:p>
    <w:p>
      <w:pPr>
        <w:spacing w:after="0" w:line="235" w:lineRule="exact"/>
        <w:rPr>
          <w:rFonts w:ascii="Arial" w:cs="Arial" w:eastAsia="Arial" w:hAnsi="Arial"/>
          <w:sz w:val="16"/>
          <w:szCs w:val="16"/>
          <w:color w:val="auto"/>
        </w:rPr>
      </w:pPr>
    </w:p>
    <w:p>
      <w:pPr>
        <w:ind w:left="2540" w:hanging="647"/>
        <w:spacing w:after="0"/>
        <w:tabs>
          <w:tab w:leader="none" w:pos="2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breach by AbbVie or an AbbVie Subsidiary of this Agreement or any Ancillary Agreement; and</w:t>
      </w:r>
    </w:p>
    <w:p>
      <w:pPr>
        <w:spacing w:after="0" w:line="224" w:lineRule="exact"/>
        <w:rPr>
          <w:rFonts w:ascii="Arial" w:cs="Arial" w:eastAsia="Arial" w:hAnsi="Arial"/>
          <w:sz w:val="17"/>
          <w:szCs w:val="17"/>
          <w:color w:val="auto"/>
        </w:rPr>
      </w:pPr>
    </w:p>
    <w:p>
      <w:pPr>
        <w:jc w:val="both"/>
        <w:ind w:left="640" w:right="380" w:firstLine="1253"/>
        <w:spacing w:after="0" w:line="326" w:lineRule="auto"/>
        <w:tabs>
          <w:tab w:leader="none" w:pos="25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or the Information Statement (other than the matters described in clause (v) of the definition of Abbott Indemnity Obligations).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Intellectual Property</w:t>
      </w:r>
      <w:r>
        <w:rPr>
          <w:rFonts w:ascii="Arial" w:cs="Arial" w:eastAsia="Arial" w:hAnsi="Arial"/>
          <w:sz w:val="17"/>
          <w:szCs w:val="17"/>
          <w:color w:val="auto"/>
        </w:rPr>
        <w:t xml:space="preserve">” means (i) the Patents and Trademarks set forth on </w:t>
      </w:r>
      <w:r>
        <w:rPr>
          <w:rFonts w:ascii="Arial" w:cs="Arial" w:eastAsia="Arial" w:hAnsi="Arial"/>
          <w:sz w:val="17"/>
          <w:szCs w:val="17"/>
          <w:u w:val="single" w:color="auto"/>
          <w:color w:val="auto"/>
        </w:rPr>
        <w:t>Schedule 1.01(h)</w:t>
      </w:r>
      <w:r>
        <w:rPr>
          <w:rFonts w:ascii="Arial" w:cs="Arial" w:eastAsia="Arial" w:hAnsi="Arial"/>
          <w:sz w:val="17"/>
          <w:szCs w:val="17"/>
          <w:color w:val="auto"/>
        </w:rPr>
        <w:t>; (ii) the Other Intellectual Property owned by, licensed by or to, or sublicensed by or to either Party or any of its Subsidiaries that, as of the Effective Time, is exclusively used or held for use in the AbbVie Business; (iii) the rights to any Patents, Trademarks, and Other Intellectual Property that are allocated to AbbVie or an AbbVie Subsidiary pursuant to the Special Products Master Agreement or any other Ancillary Agreement; and (iv) the non-exclusive right to all Other Intellectual Property that: (x) as of the Effective Time, is used or held for use in the AbbVie Business (but is not used or held for use exclusively in the AbbVie Business); and (y) has not been allocated to AbbVie or an AbbVie Subsidiary as contemplated by clause (iii) of this definition.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Liabilities</w:t>
      </w:r>
      <w:r>
        <w:rPr>
          <w:rFonts w:ascii="Arial" w:cs="Arial" w:eastAsia="Arial" w:hAnsi="Arial"/>
          <w:sz w:val="17"/>
          <w:szCs w:val="17"/>
          <w:color w:val="auto"/>
        </w:rPr>
        <w:t>” means all of the following Liabilities of either Party or any of its Subsidiaries:</w:t>
      </w:r>
    </w:p>
    <w:p>
      <w:pPr>
        <w:spacing w:after="0" w:line="224" w:lineRule="exact"/>
        <w:rPr>
          <w:sz w:val="20"/>
          <w:szCs w:val="20"/>
          <w:color w:val="auto"/>
        </w:rPr>
      </w:pPr>
    </w:p>
    <w:p>
      <w:pPr>
        <w:ind w:left="640" w:right="100" w:firstLine="1253"/>
        <w:spacing w:after="0" w:line="326" w:lineRule="auto"/>
        <w:tabs>
          <w:tab w:leader="none" w:pos="25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all Liabilities included or reflected on the AbbVie Pro Forma Balance Sheet or any notes or subledgers thereto, subject to any discharge of such Liabilities after the date of such AbbVie Pro Forma Balance Sheet, it being understood that (x) the AbbVie Pro Forma Balance Sheet and the notes and subledgers thereto shall be used to determine the types of, and methodologies used to determine, those Liabilities that are included in</w:t>
      </w:r>
    </w:p>
    <w:p>
      <w:pPr>
        <w:sectPr>
          <w:pgSz w:w="11900" w:h="16893" w:orient="portrait"/>
          <w:cols w:equalWidth="0" w:num="1">
            <w:col w:w="11400"/>
          </w:cols>
          <w:pgMar w:left="240" w:top="127" w:right="259" w:bottom="0" w:gutter="0" w:footer="0" w:header="0"/>
        </w:sectPr>
      </w:pPr>
    </w:p>
    <w:bookmarkStart w:id="13" w:name="page14"/>
    <w:bookmarkEnd w:id="13"/>
    <w:p>
      <w:pPr>
        <w:ind w:left="640" w:right="180"/>
        <w:spacing w:after="0" w:line="273" w:lineRule="auto"/>
        <w:rPr>
          <w:sz w:val="20"/>
          <w:szCs w:val="20"/>
          <w:color w:val="auto"/>
        </w:rPr>
      </w:pPr>
      <w:r>
        <w:rPr>
          <w:rFonts w:ascii="Arial" w:cs="Arial" w:eastAsia="Arial" w:hAnsi="Arial"/>
          <w:sz w:val="17"/>
          <w:szCs w:val="17"/>
          <w:color w:val="auto"/>
        </w:rPr>
        <w:t>the definition of AbbVie Liabilities pursuant to this subclause (i); and (y) the amounts set forth on the AbbVie Pro Forma Balance Sheet with respect to any Liabilities shall not be treated as minimum amounts or limitations on the amount of such Liabilities that are included in the definition of AbbVie Liabilities pursuant to this subclause (i);</w:t>
      </w:r>
    </w:p>
    <w:p>
      <w:pPr>
        <w:spacing w:after="0" w:line="172" w:lineRule="exact"/>
        <w:rPr>
          <w:sz w:val="20"/>
          <w:szCs w:val="20"/>
          <w:color w:val="auto"/>
        </w:rPr>
      </w:pPr>
    </w:p>
    <w:p>
      <w:pPr>
        <w:ind w:left="640" w:right="100" w:firstLine="1253"/>
        <w:spacing w:after="0" w:line="280" w:lineRule="auto"/>
        <w:tabs>
          <w:tab w:leader="none" w:pos="25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Liabilities that are incurred or accrued by either Party or any of its Subsidiaries from the date of the AbbVie Pro Forma Balance Sheet to the Effective Time that are of a nature or type that would have resulted in such Liabilities being included as Liabilities on a pro forma combined balance sheet of AbbVie or any notes or subledgers thereto as of the Effective Time (were such balance sheet, notes or subledgers to be prepared on a basis consistent with the determination of the Liabilities included on the AbbVie Pro Forma Balance Sheet or any notes or subledgers thereto), it being understood that (x) the AbbVie Pro Forma Balance Sheet and the notes and subledgers thereto shall be used to determine the types of, and methodologies used to determine, those Liabilities that are included in the definition of AbbVie Liabilities pursuant to this subclause (ii); and (y) the amounts set forth on the AbbVie Pro Forma Balance Sheet with respect to any Liabilities shall not be treated as minimum amounts or limitations on the amount of such Liabilities that are included in the definition of AbbVie Liabilities pursuant to this subclause (ii);</w:t>
      </w:r>
    </w:p>
    <w:p>
      <w:pPr>
        <w:spacing w:after="0" w:line="170" w:lineRule="exact"/>
        <w:rPr>
          <w:rFonts w:ascii="Arial" w:cs="Arial" w:eastAsia="Arial" w:hAnsi="Arial"/>
          <w:sz w:val="16"/>
          <w:szCs w:val="16"/>
          <w:color w:val="auto"/>
        </w:rPr>
      </w:pPr>
    </w:p>
    <w:p>
      <w:pPr>
        <w:ind w:left="640" w:right="120" w:firstLine="1253"/>
        <w:spacing w:after="0" w:line="314" w:lineRule="auto"/>
        <w:tabs>
          <w:tab w:leader="none" w:pos="25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all Liabilities relating to, arising out of or resulting from the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that such Liabilities relate to, arise out of or result from the AbbVie Business or an AbbVie Asset, except for Liabilities to the extent relating to, arising out of or resulting from the manufacture of</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 xml:space="preserve">products (other than the Special Products or the Exclusive AbbVie Products) for Abbott or any Abbott Subsidiary prior to the Effective Time at any of the manufacturing plants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158" w:lineRule="exact"/>
        <w:rPr>
          <w:sz w:val="20"/>
          <w:szCs w:val="20"/>
          <w:color w:val="auto"/>
        </w:rPr>
      </w:pPr>
    </w:p>
    <w:p>
      <w:pPr>
        <w:ind w:left="640" w:right="340" w:firstLine="1253"/>
        <w:spacing w:after="0" w:line="273" w:lineRule="auto"/>
        <w:tabs>
          <w:tab w:leader="none" w:pos="25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for claims made by Third Parties, or the directors, officers, employees, agents of Abbott, AbbVie or their respective Subsidiaries or Affiliates against either Party or any of its Subsidiaries to the extent relating to, arising out of or resulting from the AbbVie Business or the AbbVie Assets;</w:t>
      </w:r>
    </w:p>
    <w:p>
      <w:pPr>
        <w:spacing w:after="0" w:line="171" w:lineRule="exact"/>
        <w:rPr>
          <w:rFonts w:ascii="Arial" w:cs="Arial" w:eastAsia="Arial" w:hAnsi="Arial"/>
          <w:sz w:val="17"/>
          <w:szCs w:val="17"/>
          <w:color w:val="auto"/>
        </w:rPr>
      </w:pPr>
    </w:p>
    <w:p>
      <w:pPr>
        <w:jc w:val="both"/>
        <w:ind w:left="640" w:firstLine="1253"/>
        <w:spacing w:after="0" w:line="290" w:lineRule="auto"/>
        <w:tabs>
          <w:tab w:leader="none" w:pos="25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Liabilities expressly allocated to AbbVie or an AbbVie Subsidiary pursuant to this Agreement or any Ancillary Agreement, and the obligations of AbbVie or an AbbVie Subsidiary under such agreements, including (a) any Liability related to the Special Products that is allocated to AbbVie or an AbbVie Subsidiary pursuant to the Special Products Master Agreement; and (b) any Liability arising during the International Transition Period that is allocated to AbbVie or an AbbVie Subsidiary pursuant to any International Transition Period Agreement;</w:t>
      </w:r>
    </w:p>
    <w:p>
      <w:pPr>
        <w:spacing w:after="0" w:line="159" w:lineRule="exact"/>
        <w:rPr>
          <w:rFonts w:ascii="Arial" w:cs="Arial" w:eastAsia="Arial" w:hAnsi="Arial"/>
          <w:sz w:val="16"/>
          <w:szCs w:val="16"/>
          <w:color w:val="auto"/>
        </w:rPr>
      </w:pPr>
    </w:p>
    <w:p>
      <w:pPr>
        <w:ind w:left="2540" w:hanging="647"/>
        <w:spacing w:after="0"/>
        <w:tabs>
          <w:tab w:leader="none" w:pos="2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AbbVie Credit Facility or the Financing Arrangements;</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AbbVie Proceedings;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relating to, arising out of, or resulting from the Plea Agreement or the CIA;</w:t>
      </w:r>
    </w:p>
    <w:p>
      <w:pPr>
        <w:spacing w:after="0" w:line="224" w:lineRule="exact"/>
        <w:rPr>
          <w:rFonts w:ascii="Arial" w:cs="Arial" w:eastAsia="Arial" w:hAnsi="Arial"/>
          <w:sz w:val="17"/>
          <w:szCs w:val="17"/>
          <w:color w:val="auto"/>
        </w:rPr>
      </w:pPr>
    </w:p>
    <w:p>
      <w:pPr>
        <w:ind w:left="640" w:right="160" w:firstLine="1253"/>
        <w:spacing w:after="0" w:line="289" w:lineRule="auto"/>
        <w:tabs>
          <w:tab w:leader="none" w:pos="25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Liabilities assumed by AbbVie or an AbbVie Subsidiary from a Third Party after the Effective Time (whether or not such Liabilities initially arose or accrued before the Effective Time);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all other Liabilities set forth on </w:t>
      </w:r>
      <w:r>
        <w:rPr>
          <w:rFonts w:ascii="Arial" w:cs="Arial" w:eastAsia="Arial" w:hAnsi="Arial"/>
          <w:sz w:val="17"/>
          <w:szCs w:val="17"/>
          <w:u w:val="single" w:color="auto"/>
          <w:color w:val="auto"/>
        </w:rPr>
        <w:t>Schedule 1.01(i)</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The Parties agree that all Delayed AbbVie Liabilities shall be AbbVie Liabilities for purposes of this Agreement and the Ancillary Agreements regardless of when such Delayed AbbVie Liabilities are assumed by AbbVie or an AbbVie Subsidiary or designee. The Parties also agree that, if any Transferred Entity holds an Abbott Liability, such Abbott Liability shall nonetheless be treated as an Abbott Liability and the Parties shall, and shall cause their respective Subsidiaries to, use their commercially reasonable efforts for such Abbott Liability to be assumed by Abbott or an Abbott Subsidiary.</w:t>
      </w:r>
    </w:p>
    <w:p>
      <w:pPr>
        <w:spacing w:after="0" w:line="159"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 Forma Balance Sheet</w:t>
      </w:r>
      <w:r>
        <w:rPr>
          <w:rFonts w:ascii="Arial" w:cs="Arial" w:eastAsia="Arial" w:hAnsi="Arial"/>
          <w:sz w:val="17"/>
          <w:szCs w:val="17"/>
          <w:color w:val="auto"/>
        </w:rPr>
        <w:t>” means the pro forma combined balance sheet of AbbVie and the AbbVie Subsidiaries, including any notes or subledgers thereto, as of [•], 2012, as presented in the Information Statement mailed to the Record Holders prior to the Effective Time.</w:t>
      </w:r>
    </w:p>
    <w:p>
      <w:pPr>
        <w:spacing w:after="0" w:line="158"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Proceedings</w:t>
      </w:r>
      <w:r>
        <w:rPr>
          <w:rFonts w:ascii="Arial" w:cs="Arial" w:eastAsia="Arial" w:hAnsi="Arial"/>
          <w:sz w:val="17"/>
          <w:szCs w:val="17"/>
          <w:color w:val="auto"/>
        </w:rPr>
        <w:t>” means all Proceedings that solely or primarily relate to, arise out of or result from the AbbVie Business, the AbbVie Assets or the AbbVie Liabilities,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Depakote Proceedings, and, to the extent described on </w:t>
      </w:r>
      <w:r>
        <w:rPr>
          <w:rFonts w:ascii="Arial" w:cs="Arial" w:eastAsia="Arial" w:hAnsi="Arial"/>
          <w:sz w:val="17"/>
          <w:szCs w:val="17"/>
          <w:u w:val="single" w:color="auto"/>
          <w:color w:val="auto"/>
        </w:rPr>
        <w:t>Schedule 1.01(j)</w:t>
      </w:r>
      <w:r>
        <w:rPr>
          <w:rFonts w:ascii="Arial" w:cs="Arial" w:eastAsia="Arial" w:hAnsi="Arial"/>
          <w:sz w:val="17"/>
          <w:szCs w:val="17"/>
          <w:color w:val="auto"/>
        </w:rPr>
        <w:t xml:space="preserve">, the other Proceedings set forth on </w:t>
      </w:r>
      <w:r>
        <w:rPr>
          <w:rFonts w:ascii="Arial" w:cs="Arial" w:eastAsia="Arial" w:hAnsi="Arial"/>
          <w:sz w:val="17"/>
          <w:szCs w:val="17"/>
          <w:u w:val="single" w:color="auto"/>
          <w:color w:val="auto"/>
        </w:rPr>
        <w:t>Schedule 1.01(j)</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Subsidiary</w:t>
      </w:r>
      <w:r>
        <w:rPr>
          <w:rFonts w:ascii="Arial" w:cs="Arial" w:eastAsia="Arial" w:hAnsi="Arial"/>
          <w:sz w:val="17"/>
          <w:szCs w:val="17"/>
          <w:color w:val="auto"/>
        </w:rPr>
        <w:t>” means any Business Entity that is a Subsidiary of AbbVie prior to, at or after the Effective Time, including the Transferred Entities, which shall be deemed to have been AbbVie Subsidiaries at all times prior to, at and after the Effective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Deferred Taxes</w:t>
      </w:r>
      <w:r>
        <w:rPr>
          <w:rFonts w:ascii="Arial" w:cs="Arial" w:eastAsia="Arial" w:hAnsi="Arial"/>
          <w:sz w:val="17"/>
          <w:szCs w:val="17"/>
          <w:color w:val="auto"/>
        </w:rPr>
        <w:t>” means the deferred Taxes and prepaid Taxes as defined under GAAP as of the Distribution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224" w:lineRule="exact"/>
        <w:rPr>
          <w:sz w:val="20"/>
          <w:szCs w:val="20"/>
          <w:color w:val="auto"/>
        </w:rPr>
      </w:pPr>
    </w:p>
    <w:p>
      <w:pPr>
        <w:ind w:right="120" w:firstLine="12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(including, with a correlative meaning, “</w:t>
      </w:r>
      <w:r>
        <w:rPr>
          <w:rFonts w:ascii="Arial" w:cs="Arial" w:eastAsia="Arial" w:hAnsi="Arial"/>
          <w:sz w:val="16"/>
          <w:szCs w:val="16"/>
          <w:u w:val="single" w:color="auto"/>
          <w:color w:val="auto"/>
        </w:rPr>
        <w:t>affiliated</w:t>
      </w:r>
      <w:r>
        <w:rPr>
          <w:rFonts w:ascii="Arial" w:cs="Arial" w:eastAsia="Arial" w:hAnsi="Arial"/>
          <w:sz w:val="16"/>
          <w:szCs w:val="16"/>
          <w:color w:val="auto"/>
        </w:rPr>
        <w:t>”) means,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The Parties agree that, prior to, at or after the Effective Time and for purposes of this Agreement and the Ancillary</w:t>
      </w:r>
    </w:p>
    <w:p>
      <w:pPr>
        <w:sectPr>
          <w:pgSz w:w="11900" w:h="16838" w:orient="portrait"/>
          <w:cols w:equalWidth="0" w:num="1">
            <w:col w:w="11400"/>
          </w:cols>
          <w:pgMar w:left="240" w:top="127" w:right="259" w:bottom="0" w:gutter="0" w:footer="0" w:header="0"/>
        </w:sectPr>
      </w:pPr>
    </w:p>
    <w:bookmarkStart w:id="14" w:name="page15"/>
    <w:bookmarkEnd w:id="14"/>
    <w:p>
      <w:pPr>
        <w:ind w:right="300"/>
        <w:spacing w:after="0" w:line="322" w:lineRule="auto"/>
        <w:rPr>
          <w:sz w:val="20"/>
          <w:szCs w:val="20"/>
          <w:color w:val="auto"/>
        </w:rPr>
      </w:pPr>
      <w:r>
        <w:rPr>
          <w:rFonts w:ascii="Arial" w:cs="Arial" w:eastAsia="Arial" w:hAnsi="Arial"/>
          <w:sz w:val="16"/>
          <w:szCs w:val="16"/>
          <w:color w:val="auto"/>
        </w:rPr>
        <w:t>Agreements, neither AbbVie nor any of the AbbVie Subsidiaries, including the Transferred Entities, shall be deemed to be an Affiliate of Abbott or any of the Abbott Subsidiaries, and neither Abbott nor any of the Abbott Subsidiaries shall be deemed to be an Affiliate of AbbVie or any of the AbbVie Subsidiaries.</w:t>
      </w:r>
    </w:p>
    <w:p>
      <w:pPr>
        <w:spacing w:after="0" w:line="136"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means Computershare Trust Company, N.A., or such other trust company or bank duly appointed to act as distribution agent, transfer agent and registrar for the AbbVie Common Stock in connection with the Distribution.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Separation and Distribution Agreement and each of the Schedules and Exhibits hereto.</w:t>
      </w:r>
    </w:p>
    <w:p>
      <w:pPr>
        <w:spacing w:after="0" w:line="224"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all agreements entered into by the Parties or their Subsidiaries (but as to which no Third Party is a party) in connection with the Separation, the Distribution or the other transactions contemplated by this Agreement.</w:t>
      </w:r>
    </w:p>
    <w:p>
      <w:pPr>
        <w:spacing w:after="0" w:line="158"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means, with respect to any Person, the assets, rights, interests, claims and properties of all kinds, real and personal, tangible, intangible and contingent, wherever located (including in the possession of suppliers, distributors, other Third Parties or elsewhere), of such Person, including rights and benefits pursuant to any contract, license, permit, indenture, note, bond, mortgage, agreement, concession, franchise, instrument, undertaking, commitment, understanding or other arrangement and any rights or benefits pursuant to any Proceeding.</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Entity</w:t>
      </w:r>
      <w:r>
        <w:rPr>
          <w:rFonts w:ascii="Arial" w:cs="Arial" w:eastAsia="Arial" w:hAnsi="Arial"/>
          <w:sz w:val="17"/>
          <w:szCs w:val="17"/>
          <w:color w:val="auto"/>
        </w:rPr>
        <w:t>” means any corporation, general or limited partnership, trust, joint venture, unincorporated organization, limited liability entity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or other entity.</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means the Amended and Restated Bylaws of AbbVie,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means the Amended and Restated Certificate of Incorporation of AbbVie,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36" w:lineRule="exact"/>
        <w:rPr>
          <w:sz w:val="20"/>
          <w:szCs w:val="20"/>
          <w:color w:val="auto"/>
        </w:rPr>
      </w:pPr>
    </w:p>
    <w:p>
      <w:pPr>
        <w:ind w:firstLine="125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the occurrence after the Effective Time of any of the following: (i) the sale, conveyance or disposition, in one or a series of related transactions, of all or substantially all of the assets of such Party to a Third Party that is not an Affiliate of such Party prior to such transaction or the first of such related transactions; (ii) the consolidation, merger or other business combination of a Party with or into any other Business Entity, immediately following which the then-current stockholders of the Party, as such, fail to own in the aggregate at least Majority Voting Power of the surviving party in such consolidation, merger or business combination or of its ultimate publicly-traded parent Business Entity; (iii) a transaction or series of transactions in which any Person or “group” (as such term is used in Sections 13(d) and 14(d) of the Exchange Act) acquires Majority Voting Power of such Party (other than (a) a reincorporation or similar corporate transaction in which each of such Party’s stockholders owns, immediately thereafter, interests in the new parent company in substantially the same percentage as such stockholder owned in such Party immediately prior to such transaction, or (b) in connection with a transaction described in clause (ii), which shall be governed by such clause (ii)); or (iv) a majority of the board of directors of such Party ceasing to consist of individuals who have become directors as a result of being nominated or elected by a majority of such Party’s directors.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CIA</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2.02(e)</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United States Securities and Exchange Commission.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5.09</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means any consents, waivers or approvals from, or notification requirements to, any Third Parties.</w:t>
      </w:r>
    </w:p>
    <w:p>
      <w:pPr>
        <w:spacing w:after="0" w:line="224" w:lineRule="exact"/>
        <w:rPr>
          <w:sz w:val="20"/>
          <w:szCs w:val="20"/>
          <w:color w:val="auto"/>
        </w:rPr>
      </w:pPr>
    </w:p>
    <w:p>
      <w:pPr>
        <w:ind w:right="8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Database</w:t>
      </w:r>
      <w:r>
        <w:rPr>
          <w:rFonts w:ascii="Arial" w:cs="Arial" w:eastAsia="Arial" w:hAnsi="Arial"/>
          <w:sz w:val="16"/>
          <w:szCs w:val="16"/>
          <w:color w:val="auto"/>
        </w:rPr>
        <w:t>” means the electronic database of contracts prepared by the Parties and their respective Subsidiaries in connection with the transactions contemplated by this Agreement and the Ancillary Agreements on the eKnow platform, as of immediately prior to the Effective Time.</w:t>
      </w:r>
    </w:p>
    <w:p>
      <w:pPr>
        <w:spacing w:after="0" w:line="136" w:lineRule="exact"/>
        <w:rPr>
          <w:sz w:val="20"/>
          <w:szCs w:val="20"/>
          <w:color w:val="auto"/>
        </w:rPr>
      </w:pPr>
    </w:p>
    <w:p>
      <w:pPr>
        <w:ind w:right="300" w:firstLine="125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Conveyance and Assumption Instruments</w:t>
      </w:r>
      <w:r>
        <w:rPr>
          <w:rFonts w:ascii="Arial" w:cs="Arial" w:eastAsia="Arial" w:hAnsi="Arial"/>
          <w:sz w:val="15"/>
          <w:szCs w:val="15"/>
          <w:color w:val="auto"/>
        </w:rPr>
        <w:t>” means, collectively, such deeds, bills of sale, asset transfer agreements, business transfer agreements, demerger plans, deeds or agreements, endorsements, assignments, assumptions (including Liability assumption agreements), leases, subleases, affidavits and other instruments of sale, conveyance, contribution, distribution, lease, transfer and assignment between Abbott or, where applicable, an Abbott</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Subsidiary or designee of Abbott, on the one hand, and AbbVie or, where applicable, an AbbVie Subsidiary, on the other hand, as may be necessary or advisable under the Laws of the relevant jurisdictions to effect the Separation.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Custodial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Abbott Asset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Abbott Liability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2.05(a)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AbbVie Asset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AbbVie Liability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Depakote Proceedings</w:t>
      </w:r>
      <w:r>
        <w:rPr>
          <w:rFonts w:ascii="Arial" w:cs="Arial" w:eastAsia="Arial" w:hAnsi="Arial"/>
          <w:sz w:val="17"/>
          <w:szCs w:val="17"/>
          <w:color w:val="auto"/>
        </w:rPr>
        <w:t xml:space="preserve">” means the Proceedings that are set forth on </w:t>
      </w:r>
      <w:r>
        <w:rPr>
          <w:rFonts w:ascii="Arial" w:cs="Arial" w:eastAsia="Arial" w:hAnsi="Arial"/>
          <w:sz w:val="17"/>
          <w:szCs w:val="17"/>
          <w:u w:val="single" w:color="auto"/>
          <w:color w:val="auto"/>
        </w:rPr>
        <w:t>Schedule 1.01(k)</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w:t>
      </w:r>
    </w:p>
    <w:p>
      <w:pPr>
        <w:sectPr>
          <w:pgSz w:w="11900" w:h="16838" w:orient="portrait"/>
          <w:cols w:equalWidth="0" w:num="1">
            <w:col w:w="11340"/>
          </w:cols>
          <w:pgMar w:left="240" w:top="127" w:right="319" w:bottom="0" w:gutter="0" w:footer="0" w:header="0"/>
        </w:sectPr>
      </w:pPr>
    </w:p>
    <w:bookmarkStart w:id="15" w:name="page16"/>
    <w:bookmarkEnd w:id="15"/>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Date</w:t>
      </w:r>
      <w:r>
        <w:rPr>
          <w:rFonts w:ascii="Arial" w:cs="Arial" w:eastAsia="Arial" w:hAnsi="Arial"/>
          <w:sz w:val="16"/>
          <w:szCs w:val="16"/>
          <w:color w:val="auto"/>
        </w:rPr>
        <w:t>” means the date of the consummation of the Distribution, which shall be determined by the board of directors of Abbott in its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sole discretion.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12:01 a.m. Eastern Time on the Distribution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Inventor Remuneration Entitlement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5.08(g)</w:t>
      </w:r>
      <w:r>
        <w:rPr>
          <w:rFonts w:ascii="Arial" w:cs="Arial" w:eastAsia="Arial" w:hAnsi="Arial"/>
          <w:sz w:val="17"/>
          <w:szCs w:val="17"/>
          <w:color w:val="auto"/>
        </w:rPr>
        <w:t>.</w:t>
      </w:r>
    </w:p>
    <w:p>
      <w:pPr>
        <w:spacing w:after="0" w:line="224" w:lineRule="exact"/>
        <w:rPr>
          <w:sz w:val="20"/>
          <w:szCs w:val="20"/>
          <w:color w:val="auto"/>
        </w:rPr>
      </w:pPr>
    </w:p>
    <w:p>
      <w:pPr>
        <w:jc w:val="both"/>
        <w:ind w:right="1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Matters Agreement</w:t>
      </w:r>
      <w:r>
        <w:rPr>
          <w:rFonts w:ascii="Arial" w:cs="Arial" w:eastAsia="Arial" w:hAnsi="Arial"/>
          <w:sz w:val="17"/>
          <w:szCs w:val="17"/>
          <w:color w:val="auto"/>
        </w:rPr>
        <w:t>” means the Employee Matters Agreement to be entered into by and between Abbott and AbbVie in connection with the Separation, the Distribution or the other transactions contemplated by this Agreement.</w:t>
      </w:r>
    </w:p>
    <w:p>
      <w:pPr>
        <w:spacing w:after="0" w:line="158" w:lineRule="exact"/>
        <w:rPr>
          <w:sz w:val="20"/>
          <w:szCs w:val="20"/>
          <w:color w:val="auto"/>
        </w:rPr>
      </w:pPr>
    </w:p>
    <w:p>
      <w:pPr>
        <w:jc w:val="both"/>
        <w:ind w:right="1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Tax</w:t>
      </w:r>
      <w:r>
        <w:rPr>
          <w:rFonts w:ascii="Arial" w:cs="Arial" w:eastAsia="Arial" w:hAnsi="Arial"/>
          <w:sz w:val="17"/>
          <w:szCs w:val="17"/>
          <w:color w:val="auto"/>
        </w:rPr>
        <w:t>” means withholding, payroll, social security, workers compensation, unemployment, disability and any similar tax imposed by any Tax Authority, and any interest, penalties, additions to tax or additional amounts with respect to the foregoing imposed on any taxpayer or consolidated, combined or unitary group of taxpayers.</w:t>
      </w:r>
    </w:p>
    <w:p>
      <w:pPr>
        <w:spacing w:after="0" w:line="172" w:lineRule="exact"/>
        <w:rPr>
          <w:sz w:val="20"/>
          <w:szCs w:val="20"/>
          <w:color w:val="auto"/>
        </w:rPr>
      </w:pPr>
    </w:p>
    <w:p>
      <w:pPr>
        <w:ind w:right="26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Estimated Deferred Taxes</w:t>
      </w:r>
      <w:r>
        <w:rPr>
          <w:rFonts w:ascii="Arial" w:cs="Arial" w:eastAsia="Arial" w:hAnsi="Arial"/>
          <w:sz w:val="15"/>
          <w:szCs w:val="15"/>
          <w:color w:val="auto"/>
        </w:rPr>
        <w:t>” means the deferred Taxes and prepaid Taxes as defined under GAAP, as reflected on the pro forma balance sheet accounts of AbbVie and the AbbVie Subsidiaries, as of the Distribution Date as determined by the Parties within sixty (60) days after the Distribution Date.</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together with the rules and regulations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Ex-U.S. Transition Services Agreement</w:t>
      </w:r>
      <w:r>
        <w:rPr>
          <w:rFonts w:ascii="Arial" w:cs="Arial" w:eastAsia="Arial" w:hAnsi="Arial"/>
          <w:sz w:val="16"/>
          <w:szCs w:val="16"/>
          <w:color w:val="auto"/>
        </w:rPr>
        <w:t>” means the Ex-U.S. Transition Services Agreement to be entered into by and between Abbott and AbbVie or their respective Subsidiaries in connection with the Separation, the Distribution or the other transactions contemplated by this Agreement.</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Exclusive AbbVie Products</w:t>
      </w:r>
      <w:r>
        <w:rPr>
          <w:rFonts w:ascii="Arial" w:cs="Arial" w:eastAsia="Arial" w:hAnsi="Arial"/>
          <w:sz w:val="17"/>
          <w:szCs w:val="17"/>
          <w:color w:val="auto"/>
        </w:rPr>
        <w:t xml:space="preserve">” means the pharmaceutical products set forth on </w:t>
      </w:r>
      <w:r>
        <w:rPr>
          <w:rFonts w:ascii="Arial" w:cs="Arial" w:eastAsia="Arial" w:hAnsi="Arial"/>
          <w:sz w:val="17"/>
          <w:szCs w:val="17"/>
          <w:u w:val="single" w:color="auto"/>
          <w:color w:val="auto"/>
        </w:rPr>
        <w:t>Schedule 1.01(l)</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Field-of-Use</w:t>
      </w:r>
      <w:r>
        <w:rPr>
          <w:rFonts w:ascii="Arial" w:cs="Arial" w:eastAsia="Arial" w:hAnsi="Arial"/>
          <w:sz w:val="16"/>
          <w:szCs w:val="16"/>
          <w:color w:val="auto"/>
        </w:rPr>
        <w:t>” means, with respect to each Licensed Patent Schedule, the specific field-of-use set forth in such Licensed Patent Schedule.</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Adjustment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Arrangements</w:t>
      </w:r>
      <w:r>
        <w:rPr>
          <w:rFonts w:ascii="Arial" w:cs="Arial" w:eastAsia="Arial" w:hAnsi="Arial"/>
          <w:sz w:val="17"/>
          <w:szCs w:val="17"/>
          <w:color w:val="auto"/>
        </w:rPr>
        <w:t>” means the financing arrangements and agreements (other than the AbbVie Credit Facility) to be entered into prior to the Effective Time pursuant to which AbbVie shall be entitled to borrow a principal amount of at least [•] dollars (US$[•]).</w:t>
      </w:r>
    </w:p>
    <w:p>
      <w:pPr>
        <w:spacing w:after="0" w:line="158"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reasonably have been foreseen, was unavoidable, and includes acts of God, storms, floods, riots, fires, sabotage, civil commotion or civil unrest, interference by civil or military authorities, acts of war (declared or undeclared) or armed hostilities, other national or international calamities or acts of terrorism or failures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3"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Former Business</w:t>
      </w:r>
      <w:r>
        <w:rPr>
          <w:rFonts w:ascii="Arial" w:cs="Arial" w:eastAsia="Arial" w:hAnsi="Arial"/>
          <w:sz w:val="17"/>
          <w:szCs w:val="17"/>
          <w:color w:val="auto"/>
        </w:rPr>
        <w:t>” means any Business Entity, division, business unit or business, including any business within the meaning of Rule 11-01(d) of Regulation S-X promulgated under the Exchange Act (in each case, including any Assets and Liabilities comprising the same) that is not owned, leased or operated by a Party or any of its Subsidiaries as of immediately prior to the Effective Time because it has been sold, conveyed, assigned, transferred or otherwise disposed of or divested to one or more Persons (other than a Party or any of its Subsidiaries) or the operations, activities or production of which has been discontinued, abandoned, completed or otherwise terminated, in each case, prior to the Effective Time.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U.S. generally accepted accounting principles as applied by Abbott as of the Distribution Date.</w:t>
      </w:r>
    </w:p>
    <w:p>
      <w:pPr>
        <w:spacing w:after="0" w:line="224" w:lineRule="exact"/>
        <w:rPr>
          <w:sz w:val="20"/>
          <w:szCs w:val="20"/>
          <w:color w:val="auto"/>
        </w:rPr>
      </w:pPr>
    </w:p>
    <w:p>
      <w:pPr>
        <w:jc w:val="both"/>
        <w:ind w:right="28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supranational, international, national, federal, state, provincial or local court, government, department, commission, board, bureau, agency, official or other regulatory, administrative or governmental authority, including the NYSE and any similar self-regulatory body under applicable securities Laws.</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GPO</w:t>
      </w:r>
      <w:r>
        <w:rPr>
          <w:rFonts w:ascii="Arial" w:cs="Arial" w:eastAsia="Arial" w:hAnsi="Arial"/>
          <w:sz w:val="17"/>
          <w:szCs w:val="17"/>
          <w:color w:val="auto"/>
        </w:rPr>
        <w:t>” means the Global Pharmaceutical Operations Division of either Party or any of its Subsidiaries, which shall be understood to exclude the Established Pharmaceuticals Division of either Party or any of its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GPRD</w:t>
      </w:r>
      <w:r>
        <w:rPr>
          <w:rFonts w:ascii="Arial" w:cs="Arial" w:eastAsia="Arial" w:hAnsi="Arial"/>
          <w:sz w:val="17"/>
          <w:szCs w:val="17"/>
          <w:color w:val="auto"/>
        </w:rPr>
        <w:t>” means the Global Pharmaceutical Research and Development Division of either Party or any of its Subsidiaries, which shall be understood to exclude the Established Pharmaceuticals Division of either Party or any of its Subsidiaries.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4.04(a)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means an AbbVie Indemnitee or an Abbott Indemnitee, as appropriate.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4.04(a)</w:t>
      </w:r>
      <w:r>
        <w:rPr>
          <w:rFonts w:ascii="Arial" w:cs="Arial" w:eastAsia="Arial" w:hAnsi="Arial"/>
          <w:sz w:val="17"/>
          <w:szCs w:val="17"/>
          <w:color w:val="auto"/>
        </w:rPr>
        <w:t>.</w:t>
      </w:r>
    </w:p>
    <w:p>
      <w:pPr>
        <w:spacing w:after="0" w:line="224" w:lineRule="exact"/>
        <w:rPr>
          <w:sz w:val="20"/>
          <w:szCs w:val="20"/>
          <w:color w:val="auto"/>
        </w:rPr>
      </w:pPr>
    </w:p>
    <w:p>
      <w:pPr>
        <w:ind w:right="16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Information</w:t>
      </w:r>
      <w:r>
        <w:rPr>
          <w:rFonts w:ascii="Arial" w:cs="Arial" w:eastAsia="Arial" w:hAnsi="Arial"/>
          <w:sz w:val="15"/>
          <w:szCs w:val="15"/>
          <w:color w:val="auto"/>
        </w:rPr>
        <w:t>” means information in written, oral, electronic or other tangible or intangible forms, including studies, reports, records, books, contracts, instruments, surveys, specifications, drawings, blueprints, diagrams, models, prototypes, samples, flow charts, data, marketing plans, customer names,</w:t>
      </w:r>
    </w:p>
    <w:p>
      <w:pPr>
        <w:sectPr>
          <w:pgSz w:w="11900" w:h="16838" w:orient="portrait"/>
          <w:cols w:equalWidth="0" w:num="1">
            <w:col w:w="11400"/>
          </w:cols>
          <w:pgMar w:left="240" w:top="127" w:right="259" w:bottom="0" w:gutter="0" w:footer="0" w:header="0"/>
        </w:sectPr>
      </w:pPr>
    </w:p>
    <w:bookmarkStart w:id="16" w:name="page17"/>
    <w:bookmarkEnd w:id="16"/>
    <w:p>
      <w:pPr>
        <w:ind w:right="860"/>
        <w:spacing w:after="0" w:line="289" w:lineRule="auto"/>
        <w:rPr>
          <w:sz w:val="20"/>
          <w:szCs w:val="20"/>
          <w:color w:val="auto"/>
        </w:rPr>
      </w:pPr>
      <w:r>
        <w:rPr>
          <w:rFonts w:ascii="Arial" w:cs="Arial" w:eastAsia="Arial" w:hAnsi="Arial"/>
          <w:sz w:val="17"/>
          <w:szCs w:val="17"/>
          <w:color w:val="auto"/>
        </w:rPr>
        <w:t xml:space="preserve">Privileged Information, and other technical, financial, employee or business information or data;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“Information” does not include Patents, Trademarks, or Other Intellectual Property.</w:t>
      </w:r>
    </w:p>
    <w:p>
      <w:pPr>
        <w:spacing w:after="0" w:line="158" w:lineRule="exact"/>
        <w:rPr>
          <w:sz w:val="20"/>
          <w:szCs w:val="20"/>
          <w:color w:val="auto"/>
        </w:rPr>
      </w:pPr>
    </w:p>
    <w:p>
      <w:pPr>
        <w:ind w:right="6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Statement</w:t>
      </w:r>
      <w:r>
        <w:rPr>
          <w:rFonts w:ascii="Arial" w:cs="Arial" w:eastAsia="Arial" w:hAnsi="Arial"/>
          <w:sz w:val="17"/>
          <w:szCs w:val="17"/>
          <w:color w:val="auto"/>
        </w:rPr>
        <w:t>” means the information statement forming a part of the Registration Statement as the same may be amended or supplemented from time to time prior to the Effective Time.</w:t>
      </w:r>
    </w:p>
    <w:p>
      <w:pPr>
        <w:spacing w:after="0" w:line="158"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Proceeds</w:t>
      </w:r>
      <w:r>
        <w:rPr>
          <w:rFonts w:ascii="Arial" w:cs="Arial" w:eastAsia="Arial" w:hAnsi="Arial"/>
          <w:sz w:val="17"/>
          <w:szCs w:val="17"/>
          <w:color w:val="auto"/>
        </w:rPr>
        <w:t>” means, with respect to any insured party, those monies, net of any applicable premium adjustments (including reserves and retrospectively rated premium adjustments) and net of any costs or expenses incurred in the collection thereof, which are: (i) received by an insured from an insurance carrier or its estate; (ii) paid by an insurance carrier or its estate on behalf of the insured; or (iii) received (including by way of setoff) from any Third Party in the nature of insurance, contribution or indemnification in respect of any Liability.</w:t>
      </w:r>
    </w:p>
    <w:p>
      <w:pPr>
        <w:spacing w:after="0" w:line="176" w:lineRule="exact"/>
        <w:rPr>
          <w:sz w:val="20"/>
          <w:szCs w:val="20"/>
          <w:color w:val="auto"/>
        </w:rPr>
      </w:pPr>
    </w:p>
    <w:p>
      <w:pPr>
        <w:jc w:val="both"/>
        <w:ind w:right="120" w:firstLine="13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Commercial Operations Agreements</w:t>
      </w:r>
      <w:r>
        <w:rPr>
          <w:rFonts w:ascii="Arial" w:cs="Arial" w:eastAsia="Arial" w:hAnsi="Arial"/>
          <w:sz w:val="17"/>
          <w:szCs w:val="17"/>
          <w:color w:val="auto"/>
        </w:rPr>
        <w:t>” means, collectively, (i) the International Commercial Operations Agreement to be entered into prior to the Effective Time by and between Abbott and AbbVie and (ii) the Luxembourg International Commercial Operations Agreement to be entered into prior to the Effective Time by and between Abbott Investments Luxembourg S.a.r.l. and AbbVie Investments Luxembourg S.a.r.l.</w:t>
      </w:r>
    </w:p>
    <w:p>
      <w:pPr>
        <w:spacing w:after="0" w:line="172" w:lineRule="exact"/>
        <w:rPr>
          <w:sz w:val="20"/>
          <w:szCs w:val="20"/>
          <w:color w:val="auto"/>
        </w:rPr>
      </w:pPr>
    </w:p>
    <w:p>
      <w:pPr>
        <w:ind w:right="80" w:firstLine="12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Transition Period</w:t>
      </w:r>
      <w:r>
        <w:rPr>
          <w:rFonts w:ascii="Arial" w:cs="Arial" w:eastAsia="Arial" w:hAnsi="Arial"/>
          <w:sz w:val="16"/>
          <w:szCs w:val="16"/>
          <w:color w:val="auto"/>
        </w:rPr>
        <w:t>” means the period from the Effective Time to the later of: (i) the termination of the Ex-U.S. Transition Services Agreement; (ii) the Final Closing Date (as defined in the International Commercial Operations Agreement to be entered into between Abbott and AbbVie); and</w:t>
      </w:r>
    </w:p>
    <w:p>
      <w:pPr>
        <w:spacing w:after="0" w:line="1" w:lineRule="exact"/>
        <w:rPr>
          <w:sz w:val="20"/>
          <w:szCs w:val="20"/>
          <w:color w:val="auto"/>
        </w:rPr>
      </w:pPr>
    </w:p>
    <w:p>
      <w:pPr>
        <w:ind w:right="540" w:firstLine="5"/>
        <w:spacing w:after="0" w:line="275" w:lineRule="auto"/>
        <w:tabs>
          <w:tab w:leader="none" w:pos="3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Final Closing Date (as defined in the Luxembourg International Commercial Operations Agreement to be entered into between Abbott Investments Luxembourg S.a.r.l. and AbbVie Investments Luxembourg S.a.r.l.).</w:t>
      </w:r>
    </w:p>
    <w:p>
      <w:pPr>
        <w:spacing w:after="0" w:line="169" w:lineRule="exact"/>
        <w:rPr>
          <w:sz w:val="20"/>
          <w:szCs w:val="20"/>
          <w:color w:val="auto"/>
        </w:rPr>
      </w:pPr>
    </w:p>
    <w:p>
      <w:pPr>
        <w:ind w:right="8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International Transition Period Agreements</w:t>
      </w:r>
      <w:r>
        <w:rPr>
          <w:rFonts w:ascii="Arial" w:cs="Arial" w:eastAsia="Arial" w:hAnsi="Arial"/>
          <w:sz w:val="17"/>
          <w:szCs w:val="17"/>
          <w:color w:val="auto"/>
        </w:rPr>
        <w:t>” means, collectively, such International Commercial Operations Agreements, Ex-U.S. Transition Services Agreement, silent partnership agreements, undisclosed agency agreements and other agreements to be entered into by and between Abbott, or where applicable, an Abbott Subsidiary, on the one hand, and AbbVie or, where applicable, an AbbVie Subsidiary, on the other hand, pursuant to which: (i) Abbott or an Abbott Subsidiary manages and operates all or a portion of a Deferred AbbVie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Local Business, a Delayed AbbVie Asset or a Delayed AbbVie Liability during the International Transition Period in order for the benefits and burdens relating to such Deferred AbbVie Local Business, Delayed AbbVie Asset or Delayed AbbVie Liability to inure from and after the Effective Time to AbbVie or an AbbVie Subsidiary; and (ii) Abbott and the Abbott Subsidiaries on the one hand, and AbbVie and the AbbVie Subsidiaries on the other hand, provide certain transitional services to the other during the International Transition Period.</w:t>
      </w:r>
    </w:p>
    <w:p>
      <w:pPr>
        <w:spacing w:after="0" w:line="176" w:lineRule="exact"/>
        <w:rPr>
          <w:sz w:val="20"/>
          <w:szCs w:val="20"/>
          <w:color w:val="auto"/>
        </w:rPr>
      </w:pPr>
    </w:p>
    <w:p>
      <w:pPr>
        <w:ind w:right="28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supranational, international, 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54" w:lineRule="exact"/>
        <w:rPr>
          <w:sz w:val="20"/>
          <w:szCs w:val="20"/>
          <w:color w:val="auto"/>
        </w:rPr>
      </w:pPr>
    </w:p>
    <w:p>
      <w:pPr>
        <w:ind w:right="240" w:firstLine="12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debts, liabilities, obligations, responsibilities, response actions, losses, damages (whether compensatory, punitive, consequential, incidental, treble or other), fines, penalties and sanctions, absolute or contingent, matured or unmatured, liquidated or unliquidated, foreseen or unforeseen, joint, several or individual, asserted or unasserted, accrued or unaccrued, known or unknown, whenever arising, including those arising under or in connection with any Law or other pronouncements of Governmental Authorities having the effect of Law, Proceeding, threatened Proceeding, order or consent decree of any Governmental Authority or any award of any arbitration tribunal, and those arising under any contract, guarantee, commitment or undertaking, whether sought to be imposed by a Governmental Authority, private party, or Party, whether based in contract, tort, implied or express warranty, strict liability, criminal or civil statute, or otherwise, and including any costs, expenses, interest, attorneys’ fees, disbursements and expenses of counsel, expert and consulting fees and costs related thereto or to the investigation or defense thereof.</w:t>
      </w:r>
    </w:p>
    <w:p>
      <w:pPr>
        <w:spacing w:after="0" w:line="171" w:lineRule="exact"/>
        <w:rPr>
          <w:sz w:val="20"/>
          <w:szCs w:val="20"/>
          <w:color w:val="auto"/>
        </w:rPr>
      </w:pPr>
    </w:p>
    <w:p>
      <w:pPr>
        <w:ind w:firstLine="1259"/>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Patents</w:t>
      </w:r>
      <w:r>
        <w:rPr>
          <w:rFonts w:ascii="Arial" w:cs="Arial" w:eastAsia="Arial" w:hAnsi="Arial"/>
          <w:sz w:val="16"/>
          <w:szCs w:val="16"/>
          <w:color w:val="auto"/>
        </w:rPr>
        <w:t xml:space="preserve">” means, with respect to each Licensed Patent Schedule, any of the following that Licensor or any of its Affiliates, at any time during the term of this Agreement, owns, whether directly or indirectly, and has the right to grant a license as provided for under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without violating the terms of any agreement or other arrangement with any Third Party, in each case to the extent represented on such Licensed Patent Schedule: (i) all national, regional and international patents and patent applications, including provisional patent applications and patent applications filed from an invention disclosure; (ii) all patent applications filed either from the patents, patent applications or provisional applications in clause (i) or from an application claiming priority from any of these, including divisionals, continuations, converted provisionals, and continued prosecution applications; (iii) claims of continuation-in-part applications to the extent directed to subject matter disclosed in the applications or patents enumerated in clause (i) or (ii); (iv) all patents that have issued or in the future issue from the foregoing patent applications specified in clauses (i) and (ii), including utility models, petty patents and design patents and certificates of invention; (v) all patent term extensions or restorations by existing or future extension or restoration mechanisms, including any supplementary protection certificates and the like, as well as any revalidations, reissues, re-examinations, oppositions and the like of the foregoing patents or patent applications specified in clauses (i), (ii) and (iii); and (vi) all similar rights, including so-called pipeline protection, or any importation, revalidation, confirmation or introduction patent or registration patent or patents of addition to each of such foregoing patent applications and patents.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Patent Schedule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5.08(a)</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w:t>
      </w:r>
      <w:r>
        <w:rPr>
          <w:rFonts w:ascii="Arial" w:cs="Arial" w:eastAsia="Arial" w:hAnsi="Arial"/>
          <w:sz w:val="16"/>
          <w:szCs w:val="16"/>
          <w:color w:val="auto"/>
        </w:rPr>
        <w:t>” means, with respect to each Licensed Patent Schedule, the licensee of the licenses described in such Licensed Patent Schedule.</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w:t>
      </w:r>
      <w:r>
        <w:rPr>
          <w:rFonts w:ascii="Arial" w:cs="Arial" w:eastAsia="Arial" w:hAnsi="Arial"/>
          <w:sz w:val="16"/>
          <w:szCs w:val="16"/>
          <w:color w:val="auto"/>
        </w:rPr>
        <w:t>” means, with respect to each Licensed Patent Schedule, the licensor of the licenses described in such Licensed Patent Schedule.</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Maintained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5.08(c)</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Voting Power</w:t>
      </w:r>
      <w:r>
        <w:rPr>
          <w:rFonts w:ascii="Arial" w:cs="Arial" w:eastAsia="Arial" w:hAnsi="Arial"/>
          <w:sz w:val="17"/>
          <w:szCs w:val="17"/>
          <w:color w:val="auto"/>
        </w:rPr>
        <w:t>” means a majority of the ordinary voting power in the election of directors of all the outstanding voting securities of the resulting Business Entity or of the Party, respectively.</w:t>
      </w:r>
    </w:p>
    <w:p>
      <w:pPr>
        <w:spacing w:after="0" w:line="158" w:lineRule="exact"/>
        <w:rPr>
          <w:sz w:val="20"/>
          <w:szCs w:val="20"/>
          <w:color w:val="auto"/>
        </w:rPr>
      </w:pPr>
    </w:p>
    <w:p>
      <w:pPr>
        <w:ind w:right="14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Manufacture and Supply Agreements</w:t>
      </w:r>
      <w:r>
        <w:rPr>
          <w:rFonts w:ascii="Arial" w:cs="Arial" w:eastAsia="Arial" w:hAnsi="Arial"/>
          <w:sz w:val="16"/>
          <w:szCs w:val="16"/>
          <w:color w:val="auto"/>
        </w:rPr>
        <w:t>” means the Manufacture and Supply Agreements to be entered into by and between Abbott and AbbVie or their respective Subsidiaries in connection with the Separation, the Distribution or the other transactions contemplated by this Agreement.</w:t>
      </w:r>
    </w:p>
    <w:p>
      <w:pPr>
        <w:sectPr>
          <w:pgSz w:w="11900" w:h="16838" w:orient="portrait"/>
          <w:cols w:equalWidth="0" w:num="1">
            <w:col w:w="11400"/>
          </w:cols>
          <w:pgMar w:left="240" w:top="127" w:right="259" w:bottom="26" w:gutter="0" w:footer="0" w:header="0"/>
        </w:sectPr>
      </w:pPr>
    </w:p>
    <w:bookmarkStart w:id="17" w:name="page18"/>
    <w:bookmarkEnd w:id="17"/>
    <w:p>
      <w:pPr>
        <w:ind w:right="3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Mixed Account</w:t>
      </w:r>
      <w:r>
        <w:rPr>
          <w:rFonts w:ascii="Arial" w:cs="Arial" w:eastAsia="Arial" w:hAnsi="Arial"/>
          <w:sz w:val="17"/>
          <w:szCs w:val="17"/>
          <w:color w:val="auto"/>
        </w:rPr>
        <w:t xml:space="preserve">” means an account receivable or account payable relating to both the Abbott Business and the AbbVie Business, other than those accounts receivable or accounts payable that are described on </w:t>
      </w:r>
      <w:r>
        <w:rPr>
          <w:rFonts w:ascii="Arial" w:cs="Arial" w:eastAsia="Arial" w:hAnsi="Arial"/>
          <w:sz w:val="17"/>
          <w:szCs w:val="17"/>
          <w:u w:val="single" w:color="auto"/>
          <w:color w:val="auto"/>
        </w:rPr>
        <w:t>Schedule 1.01(m)</w:t>
      </w:r>
      <w:r>
        <w:rPr>
          <w:rFonts w:ascii="Arial" w:cs="Arial" w:eastAsia="Arial" w:hAnsi="Arial"/>
          <w:sz w:val="17"/>
          <w:szCs w:val="17"/>
          <w:color w:val="auto"/>
        </w:rPr>
        <w:t>.</w:t>
      </w:r>
    </w:p>
    <w:p>
      <w:pPr>
        <w:spacing w:after="0" w:line="158"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Mixed Contract</w:t>
      </w:r>
      <w:r>
        <w:rPr>
          <w:rFonts w:ascii="Arial" w:cs="Arial" w:eastAsia="Arial" w:hAnsi="Arial"/>
          <w:sz w:val="17"/>
          <w:szCs w:val="17"/>
          <w:color w:val="auto"/>
        </w:rPr>
        <w:t xml:space="preserve">” means any agreement to which either Party or any of its respective Subsidiaries and one or more Third Parties are a party as of immediately prior to the Effective Time that inures to the benefit or burden of both the Abbott Business and the AbbVie Business, other than those agreements that are described on </w:t>
      </w:r>
      <w:r>
        <w:rPr>
          <w:rFonts w:ascii="Arial" w:cs="Arial" w:eastAsia="Arial" w:hAnsi="Arial"/>
          <w:sz w:val="17"/>
          <w:szCs w:val="17"/>
          <w:u w:val="single" w:color="auto"/>
          <w:color w:val="auto"/>
        </w:rPr>
        <w:t>Schedule 1.01(n)</w:t>
      </w:r>
      <w:r>
        <w:rPr>
          <w:rFonts w:ascii="Arial" w:cs="Arial" w:eastAsia="Arial" w:hAnsi="Arial"/>
          <w:sz w:val="17"/>
          <w:szCs w:val="17"/>
          <w:color w:val="auto"/>
        </w:rPr>
        <w: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Non-Compete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5.09</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Non-Custodial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means any written notice, request demand or other communication specifically referencing this Agreement and given in accordance with </w:t>
      </w:r>
      <w:r>
        <w:rPr>
          <w:rFonts w:ascii="Arial" w:cs="Arial" w:eastAsia="Arial" w:hAnsi="Arial"/>
          <w:sz w:val="17"/>
          <w:szCs w:val="17"/>
          <w:u w:val="single" w:color="auto"/>
          <w:color w:val="auto"/>
        </w:rPr>
        <w:t>Section 9.05</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NYSE</w:t>
      </w:r>
      <w:r>
        <w:rPr>
          <w:rFonts w:ascii="Arial" w:cs="Arial" w:eastAsia="Arial" w:hAnsi="Arial"/>
          <w:sz w:val="17"/>
          <w:szCs w:val="17"/>
          <w:color w:val="auto"/>
        </w:rPr>
        <w:t>” means the New York Stock Exchange.</w:t>
      </w:r>
    </w:p>
    <w:p>
      <w:pPr>
        <w:spacing w:after="0" w:line="224" w:lineRule="exact"/>
        <w:rPr>
          <w:sz w:val="20"/>
          <w:szCs w:val="20"/>
          <w:color w:val="auto"/>
        </w:rPr>
      </w:pPr>
    </w:p>
    <w:p>
      <w:pPr>
        <w:ind w:right="18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Intellectual Property</w:t>
      </w:r>
      <w:r>
        <w:rPr>
          <w:rFonts w:ascii="Arial" w:cs="Arial" w:eastAsia="Arial" w:hAnsi="Arial"/>
          <w:sz w:val="16"/>
          <w:szCs w:val="16"/>
          <w:color w:val="auto"/>
        </w:rPr>
        <w:t>” means all rights, title or interest in, under or in respect of: (i) published and unpublished works of authorship and copyrights therein, and all applications, registrations, and renewals in connection therewith; (ii) software, data, databases and compilations of information; (iii) common law Trademarks; and (iv) inventions (whether patentable or not), formulas, processes, developments, technology, trade secrets and know-how.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(i) all national, regional and international patents and patent applications, including provisional patent applications; (ii) all patent applications filed either from the patents, patent applications or provisional applications in clause (i) or from 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application claiming priority from any of these, including divisionals, continuations, continuations-in-part, converted provisionals, and continued prosecution applications; (iii) all patents that have issued or in the future issue from the foregoing patent applications specified in clauses (i) and (ii), including utility models, petty patents, design patents and certificates of invention; (iv) all patent term extensions or restorations by existing or future extension or restoration mechanisms, including any supplementary protection certificates and the like, as well as any revalidations, reissues, re-examinations, oppositions and the like of the foregoing patents or patent applications specified in clauses (i), (ii) and (iii); and (v) all similar rights, including so-called pipeline protection, or any importation, revalidation, confirmation or introduction patent or registration patent or patents of addition to each of such foregoing patent applications and patents.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 individual; (ii) Business Entity; or (iii) Governmental Authority.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Plea Agreement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2.02(e)</w:t>
      </w:r>
      <w:r>
        <w:rPr>
          <w:rFonts w:ascii="Arial" w:cs="Arial" w:eastAsia="Arial" w:hAnsi="Arial"/>
          <w:sz w:val="17"/>
          <w:szCs w:val="17"/>
          <w:color w:val="auto"/>
        </w:rPr>
        <w:t>.</w:t>
      </w:r>
    </w:p>
    <w:p>
      <w:pPr>
        <w:spacing w:after="0" w:line="224"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that Bloomberg displays as </w:t>
      </w:r>
      <w:r>
        <w:rPr>
          <w:rFonts w:ascii="Arial" w:cs="Arial" w:eastAsia="Arial" w:hAnsi="Arial"/>
          <w:sz w:val="17"/>
          <w:szCs w:val="17"/>
          <w:i w:val="1"/>
          <w:iCs w:val="1"/>
          <w:color w:val="auto"/>
        </w:rPr>
        <w:t>Prime Rate by Country United States</w:t>
      </w:r>
      <w:r>
        <w:rPr>
          <w:rFonts w:ascii="Arial" w:cs="Arial" w:eastAsia="Arial" w:hAnsi="Arial"/>
          <w:sz w:val="17"/>
          <w:szCs w:val="17"/>
          <w:color w:val="auto"/>
        </w:rPr>
        <w:t xml:space="preserve"> at http://www.bloomberg.com/markets/rates-bonds/key-rates/ or on a Bloomberg terminal at PRIMBB Index.</w:t>
      </w:r>
    </w:p>
    <w:p>
      <w:pPr>
        <w:spacing w:after="0" w:line="158"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its respective Subsidiaries would be entitled to assert or have asserted a privilege, including the attorney-client and attorney work product privileges.</w:t>
      </w:r>
    </w:p>
    <w:p>
      <w:pPr>
        <w:spacing w:after="0" w:line="176"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past, present or future suit, countersuit, action, alternative dispute resolution process, claim, counterclaim, demand, hearing, inquiry, investigation or proceeding before a judicial, quasi-judicial, tribunal, arbitration or mediation body, or by or before a Governmental Authority, in each case involving Abbott, an Abbott Subsidiary, an Abbott Indemnitee (but only if in a capacity entitling such Person to the rights of an Abbott Indemnitee), AbbVie, an AbbVie Subsidiary, or an AbbVie Indemnitee (but only if in a capacity entitling such Person to the rights of an AbbVie Indemnitee), in each case other than any such matter solely between Abbott or any Abbott Subsidiaries, on the one hand, and AbbVie or any AbbVie Subsidiaries, on the other hand, arising with respect to a controversy, dispute or claim under this Agreement or any Ancillary Agreement.</w:t>
      </w:r>
    </w:p>
    <w:p>
      <w:pPr>
        <w:spacing w:after="0" w:line="183"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the close of business on the date to be determined by the Abbott board of directors as the record date for determining holders of Abbott Common Shares entitled to participate in the Distribution.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Holders</w:t>
      </w:r>
      <w:r>
        <w:rPr>
          <w:rFonts w:ascii="Arial" w:cs="Arial" w:eastAsia="Arial" w:hAnsi="Arial"/>
          <w:sz w:val="17"/>
          <w:szCs w:val="17"/>
          <w:color w:val="auto"/>
        </w:rPr>
        <w:t>” means the holders of record of Abbott Common Shares as of the close of business on the Record Date.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Records Facility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on Form 10 filed under the Exchange Act on June 4, 2012, pursuant to which the AbbVie Common Stock to be distributed in the Distribution has been registered, together with all amendments and supplements thereto.</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Remuneration Assessment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5.08(g)(ii)</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22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Interest</w:t>
      </w:r>
      <w:r>
        <w:rPr>
          <w:rFonts w:ascii="Arial" w:cs="Arial" w:eastAsia="Arial" w:hAnsi="Arial"/>
          <w:sz w:val="17"/>
          <w:szCs w:val="17"/>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Recitals.</w:t>
      </w:r>
    </w:p>
    <w:p>
      <w:pPr>
        <w:sectPr>
          <w:pgSz w:w="11900" w:h="16838" w:orient="portrait"/>
          <w:cols w:equalWidth="0" w:num="1">
            <w:col w:w="11400"/>
          </w:cols>
          <w:pgMar w:left="240" w:top="127" w:right="259" w:bottom="0" w:gutter="0" w:footer="0" w:header="0"/>
        </w:sectPr>
      </w:pPr>
    </w:p>
    <w:bookmarkStart w:id="18" w:name="page19"/>
    <w:bookmarkEnd w:id="18"/>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Business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5.08(c)</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w:t>
      </w:r>
      <w:r>
        <w:rPr>
          <w:rFonts w:ascii="Arial" w:cs="Arial" w:eastAsia="Arial" w:hAnsi="Arial"/>
          <w:sz w:val="17"/>
          <w:szCs w:val="17"/>
          <w:color w:val="auto"/>
        </w:rPr>
        <w:t xml:space="preserve">” means the pharmaceutical products set forth on </w:t>
      </w:r>
      <w:r>
        <w:rPr>
          <w:rFonts w:ascii="Arial" w:cs="Arial" w:eastAsia="Arial" w:hAnsi="Arial"/>
          <w:sz w:val="17"/>
          <w:szCs w:val="17"/>
          <w:u w:val="single" w:color="auto"/>
          <w:color w:val="auto"/>
        </w:rPr>
        <w:t>Schedule 1.01(o)</w:t>
      </w:r>
      <w:r>
        <w:rPr>
          <w:rFonts w:ascii="Arial" w:cs="Arial" w:eastAsia="Arial" w:hAnsi="Arial"/>
          <w:sz w:val="17"/>
          <w:szCs w:val="17"/>
          <w:color w:val="auto"/>
        </w:rPr>
        <w:t>.</w:t>
      </w:r>
    </w:p>
    <w:p>
      <w:pPr>
        <w:spacing w:after="0" w:line="224"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Products Master Agreement</w:t>
      </w:r>
      <w:r>
        <w:rPr>
          <w:rFonts w:ascii="Arial" w:cs="Arial" w:eastAsia="Arial" w:hAnsi="Arial"/>
          <w:sz w:val="17"/>
          <w:szCs w:val="17"/>
          <w:color w:val="auto"/>
        </w:rPr>
        <w:t>” means the Special Products Master Agreement to be entered into by and between Abbott and AbbVie in connection with the Separation, the Distribution or the other transactions contemplated by this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Stored Records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Business Entity of which such Person: (i) beneficially owns, either directly or indirectly, more than fifty percent (50%) of (A) the total combined voting power of all classes of voting securities of such Business Entity;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Tangible Information</w:t>
      </w:r>
      <w:r>
        <w:rPr>
          <w:rFonts w:ascii="Arial" w:cs="Arial" w:eastAsia="Arial" w:hAnsi="Arial"/>
          <w:sz w:val="17"/>
          <w:szCs w:val="17"/>
          <w:color w:val="auto"/>
        </w:rPr>
        <w:t>” means Information that is contained in written, electronic or other tangible forms.</w:t>
      </w:r>
    </w:p>
    <w:p>
      <w:pPr>
        <w:spacing w:after="0" w:line="224" w:lineRule="exact"/>
        <w:rPr>
          <w:sz w:val="20"/>
          <w:szCs w:val="20"/>
          <w:color w:val="auto"/>
        </w:rPr>
      </w:pPr>
    </w:p>
    <w:p>
      <w:pPr>
        <w:ind w:firstLine="125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means: (i) any income, net income, gross income, gross receipts, profits, capital stock, franchise, property, ad valorem, stamp, excise, severance, occupation, service, sales, use, license, lease, transfer, import, export, customs duties, value added, alternative minimum, estimated or other similar tax (including any fee, assessment, or other charge in the nature of or in lieu of any tax) imposed by any Tax Authority, and any interest, penalties, additions to tax or additional amounts with respect to the foregoing imposed on any taxpayer or consolidated, combined or unitary group of taxpayers; and (ii) any Employment Tax.</w:t>
      </w:r>
    </w:p>
    <w:p>
      <w:pPr>
        <w:spacing w:after="0" w:line="146"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Authority</w:t>
      </w:r>
      <w:r>
        <w:rPr>
          <w:rFonts w:ascii="Arial" w:cs="Arial" w:eastAsia="Arial" w:hAnsi="Arial"/>
          <w:sz w:val="17"/>
          <w:szCs w:val="17"/>
          <w:color w:val="auto"/>
        </w:rPr>
        <w:t>” means, with respect to any Tax, the Governmental Authority or political subdivision thereof that imposes such Tax, and the agency (if any) charged with the collection of such Tax for such Governmental Authority or subdivision.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Sharing Agreement</w:t>
      </w:r>
      <w:r>
        <w:rPr>
          <w:rFonts w:ascii="Arial" w:cs="Arial" w:eastAsia="Arial" w:hAnsi="Arial"/>
          <w:sz w:val="17"/>
          <w:szCs w:val="17"/>
          <w:color w:val="auto"/>
        </w:rPr>
        <w:t>” means the Tax Sharing Agreement to be entered into by and between Abbott and AbbVie or their respective Subsidiaries in connection with the Separation, the Distribution or the other transactions contemplated by this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Territory</w:t>
      </w:r>
      <w:r>
        <w:rPr>
          <w:rFonts w:ascii="Arial" w:cs="Arial" w:eastAsia="Arial" w:hAnsi="Arial"/>
          <w:sz w:val="15"/>
          <w:szCs w:val="15"/>
          <w:color w:val="auto"/>
        </w:rPr>
        <w:t>” means, with respect to a Licensed Patent, except as otherwise set forth on the applicable Licensed Patent Schedule, the entire world.</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other than the Parties or any of their respective Subsidiaries.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4.05(a)</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all trademarks, trade names, brand names, domain names, service marks, trade dress, logos and all other source indicators, including all goodwill associated therewith and all applications, registrations and renewals in connection therewith.</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Entities</w:t>
      </w:r>
      <w:r>
        <w:rPr>
          <w:rFonts w:ascii="Arial" w:cs="Arial" w:eastAsia="Arial" w:hAnsi="Arial"/>
          <w:sz w:val="17"/>
          <w:szCs w:val="17"/>
          <w:color w:val="auto"/>
        </w:rPr>
        <w:t xml:space="preserve">” means the entities set forth on </w:t>
      </w:r>
      <w:r>
        <w:rPr>
          <w:rFonts w:ascii="Arial" w:cs="Arial" w:eastAsia="Arial" w:hAnsi="Arial"/>
          <w:sz w:val="17"/>
          <w:szCs w:val="17"/>
          <w:u w:val="single" w:color="auto"/>
          <w:color w:val="auto"/>
        </w:rPr>
        <w:t>Schedule 1.01(p)</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including each of the fifty (50) states thereof, the District of Columbia, Puerto Rico, and all other territories and possessions of the United States of America.</w:t>
      </w:r>
    </w:p>
    <w:p>
      <w:pPr>
        <w:spacing w:after="0" w:line="158"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Transition Services Agreement</w:t>
      </w:r>
      <w:r>
        <w:rPr>
          <w:rFonts w:ascii="Arial" w:cs="Arial" w:eastAsia="Arial" w:hAnsi="Arial"/>
          <w:sz w:val="17"/>
          <w:szCs w:val="17"/>
          <w:color w:val="auto"/>
        </w:rPr>
        <w:t>” means the U.S. Transition Services Agreement to be entered into by and between Abbott and AbbVie in connection with the Separation, the Distribution or the other transactions contemplated by this Agreement.</w:t>
      </w:r>
    </w:p>
    <w:p>
      <w:pPr>
        <w:spacing w:after="0" w:line="158"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Veterinary Field-of-Use</w:t>
      </w:r>
      <w:r>
        <w:rPr>
          <w:rFonts w:ascii="Arial" w:cs="Arial" w:eastAsia="Arial" w:hAnsi="Arial"/>
          <w:sz w:val="17"/>
          <w:szCs w:val="17"/>
          <w:color w:val="auto"/>
        </w:rPr>
        <w:t>” means any use of a product for ethical or over-the-counter veterinary applications and shall specifically exclude any use of such product for human applications.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SEPARATION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6"/>
          <w:szCs w:val="16"/>
          <w:u w:val="single" w:color="auto"/>
          <w:color w:val="auto"/>
        </w:rPr>
        <w:t>Formation of AbbVie</w:t>
      </w:r>
      <w:r>
        <w:rPr>
          <w:rFonts w:ascii="Arial" w:cs="Arial" w:eastAsia="Arial" w:hAnsi="Arial"/>
          <w:sz w:val="16"/>
          <w:szCs w:val="16"/>
          <w:color w:val="auto"/>
        </w:rPr>
        <w:t>.</w:t>
      </w:r>
    </w:p>
    <w:p>
      <w:pPr>
        <w:spacing w:after="0" w:line="224" w:lineRule="exact"/>
        <w:rPr>
          <w:sz w:val="20"/>
          <w:szCs w:val="20"/>
          <w:color w:val="auto"/>
        </w:rPr>
      </w:pPr>
    </w:p>
    <w:p>
      <w:pPr>
        <w:ind w:right="100" w:firstLine="1263"/>
        <w:spacing w:after="0" w:line="289" w:lineRule="auto"/>
        <w:tabs>
          <w:tab w:leader="none" w:pos="188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Incorporation of AbbVie</w:t>
      </w:r>
      <w:r>
        <w:rPr>
          <w:rFonts w:ascii="Arial" w:cs="Arial" w:eastAsia="Arial" w:hAnsi="Arial"/>
          <w:sz w:val="17"/>
          <w:szCs w:val="17"/>
          <w:color w:val="auto"/>
        </w:rPr>
        <w:t>. The Parties acknowledge that: (i) Abbott caused AbbVie to be incorporated in Delaware on April 10,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(ii) immediately prior to the Effective Time, Abbott shall be the sole stockholder of AbbVie.</w:t>
      </w:r>
    </w:p>
    <w:p>
      <w:pPr>
        <w:spacing w:after="0" w:line="158" w:lineRule="exact"/>
        <w:rPr>
          <w:rFonts w:ascii="Arial" w:cs="Arial" w:eastAsia="Arial" w:hAnsi="Arial"/>
          <w:sz w:val="17"/>
          <w:szCs w:val="17"/>
          <w:color w:val="auto"/>
        </w:rPr>
      </w:pPr>
    </w:p>
    <w:p>
      <w:pPr>
        <w:ind w:right="80" w:firstLine="1263"/>
        <w:spacing w:after="0" w:line="289" w:lineRule="auto"/>
        <w:tabs>
          <w:tab w:leader="none" w:pos="189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Adoption of AbbVie’s Charter and Bylaws</w:t>
      </w:r>
      <w:r>
        <w:rPr>
          <w:rFonts w:ascii="Arial" w:cs="Arial" w:eastAsia="Arial" w:hAnsi="Arial"/>
          <w:sz w:val="17"/>
          <w:szCs w:val="17"/>
          <w:color w:val="auto"/>
        </w:rPr>
        <w:t>. On or prior to the Distribution Date, Abbott and AbbVie shall take all necessary actions so</w:t>
      </w:r>
      <w:r>
        <w:rPr>
          <w:rFonts w:ascii="Arial" w:cs="Arial" w:eastAsia="Arial" w:hAnsi="Arial"/>
          <w:sz w:val="17"/>
          <w:szCs w:val="17"/>
          <w:i w:val="1"/>
          <w:iCs w:val="1"/>
          <w:color w:val="auto"/>
        </w:rPr>
        <w:t xml:space="preserve"> </w:t>
      </w:r>
      <w:r>
        <w:rPr>
          <w:rFonts w:ascii="Arial" w:cs="Arial" w:eastAsia="Arial" w:hAnsi="Arial"/>
          <w:sz w:val="17"/>
          <w:szCs w:val="17"/>
          <w:color w:val="auto"/>
        </w:rPr>
        <w:t>that, as of the Effective Time, the Certificate of Incorporation and the Bylaws shall be the certificate of incorporation and bylaws of AbbVie.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AbbVie’s Directors and Officers</w:t>
      </w:r>
      <w:r>
        <w:rPr>
          <w:rFonts w:ascii="Arial" w:cs="Arial" w:eastAsia="Arial" w:hAnsi="Arial"/>
          <w:sz w:val="16"/>
          <w:szCs w:val="16"/>
          <w:color w:val="auto"/>
        </w:rPr>
        <w:t>. On or prior to the Distribution Date, Abbott and AbbVie shall take all necessary actions so that as of</w:t>
      </w:r>
    </w:p>
    <w:p>
      <w:pPr>
        <w:spacing w:after="0" w:line="37" w:lineRule="exact"/>
        <w:rPr>
          <w:rFonts w:ascii="Arial" w:cs="Arial" w:eastAsia="Arial" w:hAnsi="Arial"/>
          <w:sz w:val="16"/>
          <w:szCs w:val="16"/>
          <w:color w:val="auto"/>
        </w:rPr>
      </w:pPr>
    </w:p>
    <w:p>
      <w:pPr>
        <w:ind w:right="140"/>
        <w:spacing w:after="0" w:line="275" w:lineRule="auto"/>
        <w:rPr>
          <w:rFonts w:ascii="Arial" w:cs="Arial" w:eastAsia="Arial" w:hAnsi="Arial"/>
          <w:sz w:val="16"/>
          <w:szCs w:val="16"/>
          <w:color w:val="auto"/>
        </w:rPr>
      </w:pPr>
      <w:r>
        <w:rPr>
          <w:rFonts w:ascii="Arial" w:cs="Arial" w:eastAsia="Arial" w:hAnsi="Arial"/>
          <w:sz w:val="17"/>
          <w:szCs w:val="17"/>
          <w:color w:val="auto"/>
        </w:rPr>
        <w:t>the Effective Time: (i) the directors and executive officers of AbbVie shall be those set forth in the Information Statement mailed to the Record Holders prior to the Effective Time, unless otherwise agreed by the Parties; and (ii) AbbVie shall have such other officers as AbbVie shall appoint.</w:t>
      </w:r>
    </w:p>
    <w:p>
      <w:pPr>
        <w:spacing w:after="0" w:line="169" w:lineRule="exact"/>
        <w:rPr>
          <w:rFonts w:ascii="Arial" w:cs="Arial" w:eastAsia="Arial" w:hAnsi="Arial"/>
          <w:sz w:val="16"/>
          <w:szCs w:val="16"/>
          <w:color w:val="auto"/>
        </w:rPr>
      </w:pPr>
    </w:p>
    <w:p>
      <w:pPr>
        <w:ind w:right="40" w:firstLine="1263"/>
        <w:spacing w:after="0" w:line="268" w:lineRule="auto"/>
        <w:tabs>
          <w:tab w:leader="none" w:pos="189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NYSE Listing</w:t>
      </w:r>
      <w:r>
        <w:rPr>
          <w:rFonts w:ascii="Arial" w:cs="Arial" w:eastAsia="Arial" w:hAnsi="Arial"/>
          <w:sz w:val="17"/>
          <w:szCs w:val="17"/>
          <w:color w:val="auto"/>
        </w:rPr>
        <w:t>. AbbVie shall prepare and file, and shall use commercially reasonable efforts to have approved prior to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Time, an application for the listing of the AbbVie Common Stock to be distributed in the Distribution and the shares of AbbVie Common Stock to be reserved for issuance pursuant to any director or employee benefit plan or arrangement on the NYSE (and such other stock exchanges as may be necessary or desirable), subject to official notice of distribution.</w:t>
      </w:r>
    </w:p>
    <w:p>
      <w:pPr>
        <w:sectPr>
          <w:pgSz w:w="11900" w:h="16838" w:orient="portrait"/>
          <w:cols w:equalWidth="0" w:num="1">
            <w:col w:w="11360"/>
          </w:cols>
          <w:pgMar w:left="240" w:top="127" w:right="299" w:bottom="0" w:gutter="0" w:footer="0" w:header="0"/>
        </w:sectPr>
      </w:pPr>
    </w:p>
    <w:bookmarkStart w:id="19" w:name="page20"/>
    <w:bookmarkEnd w:id="19"/>
    <w:p>
      <w:pPr>
        <w:jc w:val="both"/>
        <w:ind w:right="140" w:firstLine="629"/>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The Separation</w:t>
      </w:r>
      <w:r>
        <w:rPr>
          <w:rFonts w:ascii="Arial" w:cs="Arial" w:eastAsia="Arial" w:hAnsi="Arial"/>
          <w:sz w:val="17"/>
          <w:szCs w:val="17"/>
          <w:color w:val="auto"/>
        </w:rPr>
        <w:t xml:space="preserve">. The Parties acknowledge that the Separation is intended to result in AbbVie owning the AbbVie Assets and assuming the AbbVie Liabilities as set forth below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in the applicable Ancillary Agreements. Subject to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2.05</w:t>
      </w:r>
      <w:r>
        <w:rPr>
          <w:rFonts w:ascii="Arial" w:cs="Arial" w:eastAsia="Arial" w:hAnsi="Arial"/>
          <w:sz w:val="17"/>
          <w:szCs w:val="17"/>
          <w:color w:val="auto"/>
        </w:rPr>
        <w:t>, on or prior to the Distribution Date, in accordance with the plan of Separation for AbbVie:</w:t>
      </w:r>
    </w:p>
    <w:p>
      <w:pPr>
        <w:spacing w:after="0" w:line="172" w:lineRule="exact"/>
        <w:rPr>
          <w:sz w:val="20"/>
          <w:szCs w:val="20"/>
          <w:color w:val="auto"/>
        </w:rPr>
      </w:pPr>
    </w:p>
    <w:p>
      <w:pPr>
        <w:ind w:firstLine="1263"/>
        <w:spacing w:after="0" w:line="262" w:lineRule="auto"/>
        <w:tabs>
          <w:tab w:leader="none" w:pos="188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Transfer and Assignment of AbbVie Assets</w:t>
      </w:r>
      <w:r>
        <w:rPr>
          <w:rFonts w:ascii="Arial" w:cs="Arial" w:eastAsia="Arial" w:hAnsi="Arial"/>
          <w:sz w:val="17"/>
          <w:szCs w:val="17"/>
          <w:color w:val="auto"/>
        </w:rPr>
        <w:t>. Abbott shall, and shall cause the applicable Abbott Subsidiaries to, contribute, assign,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convey and deliver to AbbVie or the applicable AbbVie Subsidiaries, and AbbVie or such AbbVie Subsidiaries shall accept from Abbott and the applicable Abbott Subsidiaries, all of Abbott’s and such Abbott Subsidiaries’ respective direct or indirect rights, title and interest in and to all of the AbbVie Assets, including all of the outstanding shares of capital stock or other ownership interests in the Transferred Entities, which shall result in AbbVie owning directly or indirectly all of the Transferred Entities (it being understood that if an AbbVie Asset shall be held by a Transferred Entity or a Subsidiary of a Transferred Entity, such AbbVie Asset may be assigned, transferred, conveyed and delivered for all purposes hereunder as a result of the transfer of all or substantially all of the equity interests in such Transferred Entity to AbbVie or an AbbVie Subsidiary).</w:t>
      </w:r>
    </w:p>
    <w:p>
      <w:pPr>
        <w:spacing w:after="0" w:line="184" w:lineRule="exact"/>
        <w:rPr>
          <w:rFonts w:ascii="Arial" w:cs="Arial" w:eastAsia="Arial" w:hAnsi="Arial"/>
          <w:sz w:val="17"/>
          <w:szCs w:val="17"/>
          <w:color w:val="auto"/>
        </w:rPr>
      </w:pPr>
    </w:p>
    <w:p>
      <w:pPr>
        <w:ind w:right="60" w:firstLine="1263"/>
        <w:spacing w:after="0" w:line="261" w:lineRule="auto"/>
        <w:tabs>
          <w:tab w:leader="none" w:pos="189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Acceptance and Assumption of AbbVie Liabilities</w:t>
      </w:r>
      <w:r>
        <w:rPr>
          <w:rFonts w:ascii="Arial" w:cs="Arial" w:eastAsia="Arial" w:hAnsi="Arial"/>
          <w:sz w:val="17"/>
          <w:szCs w:val="17"/>
          <w:color w:val="auto"/>
        </w:rPr>
        <w:t>. AbbVie and the applicable AbbVie Subsidiaries shall accept, assume and agree</w:t>
      </w:r>
      <w:r>
        <w:rPr>
          <w:rFonts w:ascii="Arial" w:cs="Arial" w:eastAsia="Arial" w:hAnsi="Arial"/>
          <w:sz w:val="17"/>
          <w:szCs w:val="17"/>
          <w:i w:val="1"/>
          <w:iCs w:val="1"/>
          <w:color w:val="auto"/>
        </w:rPr>
        <w:t xml:space="preserve"> </w:t>
      </w:r>
      <w:r>
        <w:rPr>
          <w:rFonts w:ascii="Arial" w:cs="Arial" w:eastAsia="Arial" w:hAnsi="Arial"/>
          <w:sz w:val="17"/>
          <w:szCs w:val="17"/>
          <w:color w:val="auto"/>
        </w:rPr>
        <w:t>faithfully to perform, discharge and fulfill all of the AbbVie Liabilities in accordance with their respective terms, without regard for the manner in which or circumstances under which such AbbVie Liabilities arose or against whom they are asserted. AbbVie and the applicable AbbVie Subsidiaries shall be responsible for all AbbVie Liabilities, regardless of when or where such AbbVie Liabilities arose or arise, or whether the facts on which they are based occurred prior to, at or after the Effective Time, regardless of where or against whom such AbbVie Liabilities are asserted or determined (including any such AbbVie Liabilities arising out of claims made by Abbott’s or AbbVie’s respective Subsidiaries or Affiliates or by Representatives of Abbott or AbbVie or their respective Subsidiaries or Affiliates against either Party or any of its Subsidiaries or Affiliates) or whether asserted or determined prior to the date hereof, and regardless of whether arising from or alleged to arise from negligence, recklessness, violation of Law, fraud or misrepresentation by either Party or any of its Subsidiaries or Affiliates or any of their respective Representatives.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68" w:lineRule="auto"/>
        <w:tabs>
          <w:tab w:leader="none" w:pos="189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Transfer and Assignment of Abbott Assets</w:t>
      </w:r>
      <w:r>
        <w:rPr>
          <w:rFonts w:ascii="Arial" w:cs="Arial" w:eastAsia="Arial" w:hAnsi="Arial"/>
          <w:sz w:val="17"/>
          <w:szCs w:val="17"/>
          <w:color w:val="auto"/>
        </w:rPr>
        <w:t>. Abbott and AbbVie shall cause AbbVie and any Business Entity that shall be an AbbVie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after the Effective Time to contribute, assign, transfer, convey and deliver to Abbott or a Business Entity designated by Abbott that shall be an Abbott Subsidiary after the Effective Time all of AbbVie’s and such AbbVie Subsidiary’s respective direct or indirect rights, title and interest in and to all Abbott Assets held by AbbVie or an AbbVie Subsidiary.</w:t>
      </w:r>
    </w:p>
    <w:p>
      <w:pPr>
        <w:spacing w:after="0" w:line="175" w:lineRule="exact"/>
        <w:rPr>
          <w:rFonts w:ascii="Arial" w:cs="Arial" w:eastAsia="Arial" w:hAnsi="Arial"/>
          <w:sz w:val="17"/>
          <w:szCs w:val="17"/>
          <w:color w:val="auto"/>
        </w:rPr>
      </w:pPr>
    </w:p>
    <w:p>
      <w:pPr>
        <w:ind w:right="20" w:firstLine="1263"/>
        <w:spacing w:after="0" w:line="261" w:lineRule="auto"/>
        <w:tabs>
          <w:tab w:leader="none" w:pos="18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Acceptance and Assumption of Abbott Liabilities</w:t>
      </w:r>
      <w:r>
        <w:rPr>
          <w:rFonts w:ascii="Arial" w:cs="Arial" w:eastAsia="Arial" w:hAnsi="Arial"/>
          <w:sz w:val="17"/>
          <w:szCs w:val="17"/>
          <w:color w:val="auto"/>
        </w:rPr>
        <w:t>. Abbott and the applicable Abbott Subsidiaries shall accept, assume and agree</w:t>
      </w:r>
      <w:r>
        <w:rPr>
          <w:rFonts w:ascii="Arial" w:cs="Arial" w:eastAsia="Arial" w:hAnsi="Arial"/>
          <w:sz w:val="17"/>
          <w:szCs w:val="17"/>
          <w:i w:val="1"/>
          <w:iCs w:val="1"/>
          <w:color w:val="auto"/>
        </w:rPr>
        <w:t xml:space="preserve"> </w:t>
      </w:r>
      <w:r>
        <w:rPr>
          <w:rFonts w:ascii="Arial" w:cs="Arial" w:eastAsia="Arial" w:hAnsi="Arial"/>
          <w:sz w:val="17"/>
          <w:szCs w:val="17"/>
          <w:color w:val="auto"/>
        </w:rPr>
        <w:t>faithfully to perform, discharge and fulfill, all of the Abbott Liabilities held by AbbVie or any Business Entity that shall be an AbbVie Subsidiary after the Effective Time, and Abbott and the applicable Abbott Subsidiaries shall be responsible for all of such Abbott Liabilities in accordance with their respective terms, without regard for the manner in which or circumstances under which such Abbott Liabilities arose or against whom they are asserted. Abbott and the applicable Abbott Subsidiaries shall be responsible for all Abbott Liabilities, regardless of when or where such Abbott Liabilities arose or arise, or whether the facts on which they are based occurred prior to, at or after the Effective Time, regardless of where or against whom such Abbott Liabilities are asserted or determined (including any such Abbott Liabilities arising out of claims made by Abbott’s or AbbVie’s respective Subsidiaries or Affiliates or by Representatives of Abbott or AbbVie or their respective Subsidiaries or Affiliates) or whether asserted or determined prior to the date hereof, and regardless of whether arising from or alleged to arise from negligence, recklessness, violation of Law, fraud or misrepresentation by either Party or any of its Subsidiaries or Affiliates or any of their respective Representatives.</w:t>
      </w:r>
    </w:p>
    <w:p>
      <w:pPr>
        <w:spacing w:after="0" w:line="181" w:lineRule="exact"/>
        <w:rPr>
          <w:rFonts w:ascii="Arial" w:cs="Arial" w:eastAsia="Arial" w:hAnsi="Arial"/>
          <w:sz w:val="17"/>
          <w:szCs w:val="17"/>
          <w:color w:val="auto"/>
        </w:rPr>
      </w:pPr>
    </w:p>
    <w:p>
      <w:pPr>
        <w:ind w:right="40" w:firstLine="1263"/>
        <w:spacing w:after="0" w:line="278" w:lineRule="auto"/>
        <w:tabs>
          <w:tab w:leader="none" w:pos="189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Assumption of Plea Agreement and CIA</w:t>
      </w:r>
      <w:r>
        <w:rPr>
          <w:rFonts w:ascii="Arial" w:cs="Arial" w:eastAsia="Arial" w:hAnsi="Arial"/>
          <w:sz w:val="16"/>
          <w:szCs w:val="16"/>
          <w:color w:val="auto"/>
        </w:rPr>
        <w:t>. Abbott and AbbVie agree and acknowledge that: (i) the conditions of probation and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Plea Agreement, dated May 7, 2012, between Abbott and the United States (the “</w:t>
      </w:r>
      <w:r>
        <w:rPr>
          <w:rFonts w:ascii="Arial" w:cs="Arial" w:eastAsia="Arial" w:hAnsi="Arial"/>
          <w:sz w:val="16"/>
          <w:szCs w:val="16"/>
          <w:u w:val="single" w:color="auto"/>
          <w:color w:val="auto"/>
        </w:rPr>
        <w:t>Plea Agreement</w:t>
      </w:r>
      <w:r>
        <w:rPr>
          <w:rFonts w:ascii="Arial" w:cs="Arial" w:eastAsia="Arial" w:hAnsi="Arial"/>
          <w:sz w:val="16"/>
          <w:szCs w:val="16"/>
          <w:color w:val="auto"/>
        </w:rPr>
        <w:t>”) are fully binding on AbbVie; (ii) AbbVie will be deemed to carry a prior conviction for purposes of Title 21, United States Code, Section 333(a)(2), and waives any right it may have to argue that it does not have such prior conviction; (iii) AbbVie’s certification, resolution, and reporting requirements pursuant to the Plea Agreement will cover Abbott’s conduct for any time period for which Abbott did not submit a certificate, resolution or report as a result of the fact that the Effective Time will have occurred prior to the due date of such certificate, resolution or report; (iv) AbbVie shall be bound by all of the terms and conditions of, and shall assume all the obligations of Abbott under, the Corporate Integrity Agreement between the Office of the Inspector General of the U.S. Department of Health and Human Services and Abbott, dated May 7, 2012 (the “</w:t>
      </w:r>
      <w:r>
        <w:rPr>
          <w:rFonts w:ascii="Arial" w:cs="Arial" w:eastAsia="Arial" w:hAnsi="Arial"/>
          <w:sz w:val="16"/>
          <w:szCs w:val="16"/>
          <w:u w:val="single" w:color="auto"/>
          <w:color w:val="auto"/>
        </w:rPr>
        <w:t>CIA</w:t>
      </w:r>
      <w:r>
        <w:rPr>
          <w:rFonts w:ascii="Arial" w:cs="Arial" w:eastAsia="Arial" w:hAnsi="Arial"/>
          <w:sz w:val="16"/>
          <w:szCs w:val="16"/>
          <w:color w:val="auto"/>
        </w:rPr>
        <w:t>”); and (v) the transactions contemplated by this Agreement shall automatically, and without any further action by Abbott, AbbVie, the Office of Inspector General of the United States Department of Health and Human Services, the United States or any instrumentality thereof, effect a novation of the CIA as of the Effective Time, with AbbVie becoming the party to and replacing Abbott in all respects under the CIA, whereupon AbbVie shall be fully responsible for complying with the CIA, and Abbott shall have no obligation or liability under the CIA whatsoever.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6"/>
          <w:szCs w:val="16"/>
          <w:u w:val="single" w:color="auto"/>
          <w:color w:val="auto"/>
        </w:rPr>
        <w:t>Deferred AbbVie Local Closings</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65" w:lineRule="auto"/>
        <w:tabs>
          <w:tab w:leader="none" w:pos="188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Deferral of Certain Transfers of AbbVie Assets and AbbVie Liabilities</w:t>
      </w:r>
      <w:r>
        <w:rPr>
          <w:rFonts w:ascii="Arial" w:cs="Arial" w:eastAsia="Arial" w:hAnsi="Arial"/>
          <w:sz w:val="17"/>
          <w:szCs w:val="17"/>
          <w:color w:val="auto"/>
        </w:rPr>
        <w:t>. The Parties acknowledge that due to the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Laws, the need to obtain certain Consents from local Governmental Authorities or for other business reasons, the Parties have agreed to defer until after the Effective Time the transfer of legal title to all or a portion of the AbbVie Assets and the assumption of all or a portion of the AbbVie Liabilities from Abbott or the applicable Abbott Subsidiary to AbbVie or the applicable AbbVie Subsidiary or designee in each of the jurisdictions listed on </w:t>
      </w:r>
      <w:r>
        <w:rPr>
          <w:rFonts w:ascii="Arial" w:cs="Arial" w:eastAsia="Arial" w:hAnsi="Arial"/>
          <w:sz w:val="17"/>
          <w:szCs w:val="17"/>
          <w:u w:val="single" w:color="auto"/>
          <w:color w:val="auto"/>
        </w:rPr>
        <w:t>Schedule 2.03(a)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1263"/>
        <w:spacing w:after="0" w:line="278" w:lineRule="auto"/>
        <w:tabs>
          <w:tab w:leader="none" w:pos="189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Treatment of Deferred AbbVie Local Businesses</w:t>
      </w:r>
      <w:r>
        <w:rPr>
          <w:rFonts w:ascii="Arial" w:cs="Arial" w:eastAsia="Arial" w:hAnsi="Arial"/>
          <w:sz w:val="16"/>
          <w:szCs w:val="16"/>
          <w:color w:val="auto"/>
        </w:rPr>
        <w:t>. In each case as set forth in more detail in the International Transition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and after the Effective Time, and until such time as the applicable Deferred AbbVie Local Business has been transferred to AbbVie or the applicable AbbVie Subsidiary or designee for the relevant jurisdiction, (i) the Deferred AbbVie Local Business shall be held by Abbott or, where applicable, by an Abbott Subsidiary or designee, on behalf of and for the benefit of AbbVie or, where applicable, an AbbVie Subsidiary or designee; (ii) Abbott or, where applicable, an Abbott Subsidiary or designee shall pay, perform and discharge fully the Liabilities of the Deferred AbbVie Local Business; and (iii) insofar as reasonably practicable and to the extent permitted by applicable Law, Abbott or, where applicable, an Abbott Subsidiary or designee shall manage and operate the applicable Deferred AbbVie Local Business in accordance with the relevant International Transition Period Agreement and take such other actions as may reasonably be requested by AbbVie so that all the benefits and Liabilities relating to such Deferred AbbVie Local Business, including use, risk of loss, potential for gain and control over such Deferred AbbVie Local Business, shall inure from and after the Effective Time to AbbVie or an AbbVie Subsidiary or designee. As and to the extent described in the International Transition Period Agreements, (i) Abbott or, where applicable, an Abbott Subsidiary or designee shall remit to AbbVie or an AbbVie Subsidiary or designee the amounts due in connection with the performance of each Deferred AbbVie Local Business; and (ii) AbbVie or,</w:t>
      </w:r>
    </w:p>
    <w:p>
      <w:pPr>
        <w:sectPr>
          <w:pgSz w:w="11900" w:h="16838" w:orient="portrait"/>
          <w:cols w:equalWidth="0" w:num="1">
            <w:col w:w="11420"/>
          </w:cols>
          <w:pgMar w:left="240" w:top="127" w:right="239" w:bottom="0" w:gutter="0" w:footer="0" w:header="0"/>
        </w:sectPr>
      </w:pPr>
    </w:p>
    <w:bookmarkStart w:id="20" w:name="page21"/>
    <w:bookmarkEnd w:id="20"/>
    <w:p>
      <w:pPr>
        <w:spacing w:after="0" w:line="24"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where applicable, an AbbVie Subsidiary or designee shall reimburse Abbott or an Abbott Subsidiary or designee for all payments made in connection with the performance of each Deferred AbbVie Local Business and the discharge of any Liabilities in connection therewith.</w:t>
      </w:r>
    </w:p>
    <w:p>
      <w:pPr>
        <w:spacing w:after="0" w:line="158" w:lineRule="exact"/>
        <w:rPr>
          <w:sz w:val="20"/>
          <w:szCs w:val="20"/>
          <w:color w:val="auto"/>
        </w:rPr>
      </w:pPr>
    </w:p>
    <w:p>
      <w:pPr>
        <w:ind w:left="1900" w:hanging="637"/>
        <w:spacing w:after="0"/>
        <w:tabs>
          <w:tab w:leader="none" w:pos="1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Alternative Arrangements for Transfers of Certain Deferred AbbVie Local Businesses</w:t>
      </w:r>
      <w:r>
        <w:rPr>
          <w:rFonts w:ascii="Arial" w:cs="Arial" w:eastAsia="Arial" w:hAnsi="Arial"/>
          <w:sz w:val="16"/>
          <w:szCs w:val="16"/>
          <w:color w:val="auto"/>
        </w:rPr>
        <w:t>. Except as otherwise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w:t>
      </w:r>
    </w:p>
    <w:p>
      <w:pPr>
        <w:spacing w:after="0" w:line="38"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u w:val="single" w:color="auto"/>
          <w:color w:val="auto"/>
        </w:rPr>
        <w:t>2.03(c)</w:t>
      </w:r>
      <w:r>
        <w:rPr>
          <w:rFonts w:ascii="Arial" w:cs="Arial" w:eastAsia="Arial" w:hAnsi="Arial"/>
          <w:sz w:val="15"/>
          <w:szCs w:val="15"/>
          <w:color w:val="auto"/>
        </w:rPr>
        <w:t>, if, in Abbott’s reasonable judgment, a transfer of a Deferred AbbVie Local Business is not reasonably likely to occur prior to the second (2nd) anniversary of the Distribution Date, then, unless the Parties otherwise mutually agree, Abbott may, by delivery of Notice to AbbVie, request that the Parties expeditiously identify alternative means or structures by which any remaining Deferred AbbVie Local Business (or the benefits or Liabilities thereof) may be transferred (or otherwise made available) to AbbVie or an AbbVie Subsidiary or designee and, if the Parties fail to agree on any such alternative means or structures within thirty</w:t>
      </w:r>
    </w:p>
    <w:p>
      <w:pPr>
        <w:spacing w:after="0" w:line="2" w:lineRule="exact"/>
        <w:rPr>
          <w:sz w:val="20"/>
          <w:szCs w:val="20"/>
          <w:color w:val="auto"/>
        </w:rPr>
      </w:pPr>
    </w:p>
    <w:p>
      <w:pPr>
        <w:ind w:right="280" w:firstLine="5"/>
        <w:spacing w:after="0" w:line="275"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calendar days following such written request of Abbott, then Abbott or the applicable Abbott Subsidiary or designee shall proceed to wind down any such Deferred AbbVie Local Business in accordance with the provisions of the applicable International Transition Period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6"/>
          <w:szCs w:val="16"/>
          <w:u w:val="single" w:color="auto"/>
          <w:color w:val="auto"/>
        </w:rPr>
        <w:t>Delayed Transfers of AbbVie Assets and AbbVie Liabilities</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60" w:lineRule="auto"/>
        <w:tabs>
          <w:tab w:leader="none" w:pos="188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Delayed AbbVie Transfers</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terms of the International Transition Period Agreements, if and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valid, complete and perfected transfer or assignment to AbbVie or an AbbVie Subsidiary or designee of any AbbVie Assets or the assumption by AbbVie or an AbbVie Subsidiary or designee of any AbbVie Liabilities would be a violation of applicable Law or requires a Consent that has not been obtained as of or prior to the Effective Time or the scheduled date of the local closing of a Deferred AbbVie Local Business under the terms of the applicable International Transition Period Agreement, as applicable, then, unless the Parties shall otherwise mutually agree, the transfer or assignment to AbbVie or the applicable AbbVie Subsidiary or designee of such AbbVie Assets or the assumption by AbbVie or the applicable AbbVie Subsidiary or designee of such AbbVie Liabilities shall be automatically deemed deferred and any such purported transfer, assignment or assumption shall be null and void until such time as all legal impediments are removed or such Consent is obtained or, in the case of a Deferred AbbVie Local Business, until the consummation of the local closing of such Deferred AbbVie Local Business (any such AbbVie Asset, a “</w:t>
      </w:r>
      <w:r>
        <w:rPr>
          <w:rFonts w:ascii="Arial" w:cs="Arial" w:eastAsia="Arial" w:hAnsi="Arial"/>
          <w:sz w:val="17"/>
          <w:szCs w:val="17"/>
          <w:u w:val="single" w:color="auto"/>
          <w:color w:val="auto"/>
        </w:rPr>
        <w:t>Delayed AbbVie Asset</w:t>
      </w:r>
      <w:r>
        <w:rPr>
          <w:rFonts w:ascii="Arial" w:cs="Arial" w:eastAsia="Arial" w:hAnsi="Arial"/>
          <w:sz w:val="17"/>
          <w:szCs w:val="17"/>
          <w:color w:val="auto"/>
        </w:rPr>
        <w:t>” and any such AbbVie Liability, a “</w:t>
      </w:r>
      <w:r>
        <w:rPr>
          <w:rFonts w:ascii="Arial" w:cs="Arial" w:eastAsia="Arial" w:hAnsi="Arial"/>
          <w:sz w:val="17"/>
          <w:szCs w:val="17"/>
          <w:u w:val="single" w:color="auto"/>
          <w:color w:val="auto"/>
        </w:rPr>
        <w:t>Delayed AbbVie Liability</w:t>
      </w:r>
      <w:r>
        <w:rPr>
          <w:rFonts w:ascii="Arial" w:cs="Arial" w:eastAsia="Arial" w:hAnsi="Arial"/>
          <w:sz w:val="17"/>
          <w:szCs w:val="17"/>
          <w:color w:val="auto"/>
        </w:rPr>
        <w:t>”). Notwithstanding the foregoing, any Delayed AbbVie Assets or Delayed AbbVie Liabilities shall continue to constitute AbbVie Assets or AbbVie Liabilities, respectively, for all other purposes of this Agreement.</w:t>
      </w:r>
    </w:p>
    <w:p>
      <w:pPr>
        <w:spacing w:after="0" w:line="187" w:lineRule="exact"/>
        <w:rPr>
          <w:rFonts w:ascii="Arial" w:cs="Arial" w:eastAsia="Arial" w:hAnsi="Arial"/>
          <w:sz w:val="17"/>
          <w:szCs w:val="17"/>
          <w:color w:val="auto"/>
        </w:rPr>
      </w:pPr>
    </w:p>
    <w:p>
      <w:pPr>
        <w:ind w:firstLine="1263"/>
        <w:spacing w:after="0" w:line="278" w:lineRule="auto"/>
        <w:tabs>
          <w:tab w:leader="none" w:pos="189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Treatment of Delayed AbbVie Assets and Delayed AbbVie Liabilities</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terms of the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Agreements, from and after the Effective Time, Abbott shall, and shall cause the Abbott Subsidiaries to, hold on behalf of and for the benefit of AbbVie or, where applicable, an AbbVie Subsidiary or designee, all Delayed AbbVie Assets, and to pay, perform and discharge fully all Delayed AbbVie Liabilities. AbbVie or the applicable AbbVie Subsidiary or designee shall promptly reimburse Abbott or the applicable Abbott Subsidiaries for all commercially reasonable payments made in connection with the performance and discharge of such Delayed AbbVie Liabilities. Each such Delayed AbbVie Asset or Delayed AbbVie Liability shall be held by Abbott or, where applicable, an Abbott Subsidiary or designee for, insofar as reasonably practicable, the benefit and burden of AbbVie or the applicable AbbVie Subsidiary or designee. Abbott and AbbVie shall, and shall cause their respective Subsidiaries to, take such other actions as may be reasonably requested by the other Party or any of its Subsidiaries in accordance with the provisions of this Agreement so that all the benefits and burdens relating to such Delayed AbbVie Asset and Delayed AbbVie Liability, including expenses, risk of loss, potential for gain and control of such Delayed AbbVie Asset and Delayed AbbVie Liability, shall inure from and after the Effective Time to AbbVie or the applicable AbbVie Subsidiaries or designees, without recourse of any kind to Abbott or any Abbott Subsidiary or designee. Any transfer taxes, registration fees or recordation fees required to be paid to a Governmental Authority in connection with the transfer of a Delayed AbbVie Asset or a Delayed AbbVie Liability shall be shared equally between the Parties.</w:t>
      </w:r>
    </w:p>
    <w:p>
      <w:pPr>
        <w:spacing w:after="0" w:line="169" w:lineRule="exact"/>
        <w:rPr>
          <w:rFonts w:ascii="Arial" w:cs="Arial" w:eastAsia="Arial" w:hAnsi="Arial"/>
          <w:sz w:val="16"/>
          <w:szCs w:val="16"/>
          <w:color w:val="auto"/>
        </w:rPr>
      </w:pPr>
    </w:p>
    <w:p>
      <w:pPr>
        <w:ind w:right="20" w:firstLine="1263"/>
        <w:spacing w:after="0" w:line="273" w:lineRule="auto"/>
        <w:tabs>
          <w:tab w:leader="none" w:pos="1898"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Transfer of Delayed AbbVie Assets and Delayed AbbVie Liabilities</w:t>
      </w:r>
      <w:r>
        <w:rPr>
          <w:rFonts w:ascii="Arial" w:cs="Arial" w:eastAsia="Arial" w:hAnsi="Arial"/>
          <w:sz w:val="17"/>
          <w:szCs w:val="17"/>
          <w:color w:val="auto"/>
        </w:rPr>
        <w:t>. When and as the Parties agree,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i w:val="1"/>
          <w:iCs w:val="1"/>
          <w:color w:val="auto"/>
        </w:rPr>
        <w:t xml:space="preserv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International Transition Period Agreements and provided that, as of such agreed-upon time (i) the necessary Consents for each Delayed AbbVie Asset or Delayed AbbVie Liability shall have been obtained; and (ii)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40"/>
        <w:spacing w:after="0" w:line="273" w:lineRule="auto"/>
        <w:rPr>
          <w:sz w:val="20"/>
          <w:szCs w:val="20"/>
          <w:color w:val="auto"/>
        </w:rPr>
      </w:pPr>
      <w:r>
        <w:rPr>
          <w:rFonts w:ascii="Arial" w:cs="Arial" w:eastAsia="Arial" w:hAnsi="Arial"/>
          <w:sz w:val="17"/>
          <w:szCs w:val="17"/>
          <w:color w:val="auto"/>
        </w:rPr>
        <w:t>assumption by AbbVie or an AbbVie Subsidiary or designee of each Delayed AbbVie Asset or Delayed AbbVie Liability is not at such time a violation of applicable Law (or, in the case of a Deferred AbbVie Local Business, if later, upon the consummation of the local closing of such Deferred AbbVie Local Business):</w:t>
      </w:r>
    </w:p>
    <w:p>
      <w:pPr>
        <w:spacing w:after="0" w:line="172" w:lineRule="exact"/>
        <w:rPr>
          <w:sz w:val="20"/>
          <w:szCs w:val="20"/>
          <w:color w:val="auto"/>
        </w:rPr>
      </w:pPr>
    </w:p>
    <w:p>
      <w:pPr>
        <w:ind w:right="60" w:firstLine="1893"/>
        <w:spacing w:after="0" w:line="298" w:lineRule="auto"/>
        <w:tabs>
          <w:tab w:leader="none" w:pos="25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Abbott shall, and shall cause each Abbott Subsidiary to, contribute, assign, transfer, convey and deliver to AbbVie or such AbbVie Subsidiaries or designees as AbbVie may determine, and AbbVie shall, and shall cause such AbbVie Subsidiaries or designees to, accept from Abbott and the Abbott Subsidiaries all of Abbott’s and the Abbott Subsidiaries’ respective rights, title and interest in and to such Delayed AbbVie Assets; and</w:t>
      </w:r>
    </w:p>
    <w:p>
      <w:pPr>
        <w:spacing w:after="0" w:line="153" w:lineRule="exact"/>
        <w:rPr>
          <w:rFonts w:ascii="Arial" w:cs="Arial" w:eastAsia="Arial" w:hAnsi="Arial"/>
          <w:sz w:val="16"/>
          <w:szCs w:val="16"/>
          <w:color w:val="auto"/>
        </w:rPr>
      </w:pPr>
    </w:p>
    <w:p>
      <w:pPr>
        <w:ind w:right="160" w:firstLine="1893"/>
        <w:spacing w:after="0" w:line="289" w:lineRule="auto"/>
        <w:tabs>
          <w:tab w:leader="none" w:pos="2527"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AbbVie shall, and shall cause such AbbVie Subsidiaries or designees as AbbVie may determine to, accept, assume and agree faithfully to perform, discharge and fulfill such Delayed AbbVie Liabilities, in accordance with their terms.</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6"/>
          <w:szCs w:val="16"/>
          <w:u w:val="single" w:color="auto"/>
          <w:color w:val="auto"/>
        </w:rPr>
        <w:t>Delayed Transfers of Abbott Assets and Abbott Liabilities</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79" w:lineRule="auto"/>
        <w:tabs>
          <w:tab w:leader="none" w:pos="188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Delayed Abbott Transfers</w:t>
      </w:r>
      <w:r>
        <w:rPr>
          <w:rFonts w:ascii="Arial" w:cs="Arial" w:eastAsia="Arial" w:hAnsi="Arial"/>
          <w:sz w:val="16"/>
          <w:szCs w:val="16"/>
          <w:color w:val="auto"/>
        </w:rPr>
        <w:t>. If and to the extent that the valid, complete and perfected transfer or assignment to Abbott or an Abbott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designee of any Abbott Assets or the assumption by Abbott or an Abbott Subsidiary or designee of any Abbott Liabilities would be a violation of applicable Law or require a Consent that has not been obtained as of or prior to the Effective Time or the scheduled date of the local closing of a Deferred AbbVie Local Business under the terms of the applicable International Transition Period Agreement, as applicable, then, unless the Parties shall otherwise mutually agree, the transfer or assignment to Abbott or the applicable Abbott Subsidiary or designee of such Abbott Assets or the assumption by Abbott or the applicable Abbott Subsidiary or designee of such Abbott Liabilities shall be automatically deemed deferred and any such purported transfer, assignment or assumption shall be null and void until such time as all legal impediments are removed or such Consent is obtained (any such Abbott Asset, a “</w:t>
      </w:r>
      <w:r>
        <w:rPr>
          <w:rFonts w:ascii="Arial" w:cs="Arial" w:eastAsia="Arial" w:hAnsi="Arial"/>
          <w:sz w:val="16"/>
          <w:szCs w:val="16"/>
          <w:u w:val="single" w:color="auto"/>
          <w:color w:val="auto"/>
        </w:rPr>
        <w:t>Delayed Abbott Asset</w:t>
      </w:r>
      <w:r>
        <w:rPr>
          <w:rFonts w:ascii="Arial" w:cs="Arial" w:eastAsia="Arial" w:hAnsi="Arial"/>
          <w:sz w:val="16"/>
          <w:szCs w:val="16"/>
          <w:color w:val="auto"/>
        </w:rPr>
        <w:t>” and any such Abbott Liability, a “</w:t>
      </w:r>
      <w:r>
        <w:rPr>
          <w:rFonts w:ascii="Arial" w:cs="Arial" w:eastAsia="Arial" w:hAnsi="Arial"/>
          <w:sz w:val="16"/>
          <w:szCs w:val="16"/>
          <w:u w:val="single" w:color="auto"/>
          <w:color w:val="auto"/>
        </w:rPr>
        <w:t>Delayed Abbott Liability</w:t>
      </w:r>
      <w:r>
        <w:rPr>
          <w:rFonts w:ascii="Arial" w:cs="Arial" w:eastAsia="Arial" w:hAnsi="Arial"/>
          <w:sz w:val="16"/>
          <w:szCs w:val="16"/>
          <w:color w:val="auto"/>
        </w:rPr>
        <w:t>”). Notwithstanding the foregoing, any Delayed Abbott Assets or Delayed Abbott Liabilities shall continue to constitute Abbott Assets or Abbott Liabilities, respectively, for all other purposes of this Agreement.</w:t>
      </w:r>
    </w:p>
    <w:p>
      <w:pPr>
        <w:spacing w:after="0" w:line="172" w:lineRule="exact"/>
        <w:rPr>
          <w:rFonts w:ascii="Arial" w:cs="Arial" w:eastAsia="Arial" w:hAnsi="Arial"/>
          <w:sz w:val="16"/>
          <w:szCs w:val="16"/>
          <w:color w:val="auto"/>
        </w:rPr>
      </w:pPr>
    </w:p>
    <w:p>
      <w:pPr>
        <w:ind w:right="80" w:firstLine="1263"/>
        <w:spacing w:after="0" w:line="285" w:lineRule="auto"/>
        <w:tabs>
          <w:tab w:leader="none" w:pos="189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Treatment of Delayed Abbott Assets and Delayed Abbott Liabilities</w:t>
      </w:r>
      <w:r>
        <w:rPr>
          <w:rFonts w:ascii="Arial" w:cs="Arial" w:eastAsia="Arial" w:hAnsi="Arial"/>
          <w:sz w:val="16"/>
          <w:szCs w:val="16"/>
          <w:color w:val="auto"/>
        </w:rPr>
        <w:t>. Except as otherwise provided herein or in any Ancillary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from and after the Effective Time, AbbVie shall, and shall cause the AbbVie Subsidiaries or designees to, hold on behalf of and for the benefit of Abbott or, where applicable, an Abbott Subsidiary or designee, all Delayed Abbott Assets, and to pay, perform and discharge fully all Delayed Abbott Liabilities. Abbott or the applicable Abbott Subsidiary or designee shall promptly reimburse AbbVie or the applicable AbbVie Subsidiaries or designees for all commercially reasonable payments made in connection with the performance and discharge of such Delayed Abbott Liabilities. Each such Delayed Abbott Asset or Delayed</w:t>
      </w:r>
    </w:p>
    <w:p>
      <w:pPr>
        <w:sectPr>
          <w:pgSz w:w="11900" w:h="16863" w:orient="portrait"/>
          <w:cols w:equalWidth="0" w:num="1">
            <w:col w:w="11400"/>
          </w:cols>
          <w:pgMar w:left="240" w:top="127" w:right="259" w:bottom="0" w:gutter="0" w:footer="0" w:header="0"/>
        </w:sectPr>
      </w:pPr>
    </w:p>
    <w:bookmarkStart w:id="21" w:name="page22"/>
    <w:bookmarkEnd w:id="21"/>
    <w:p>
      <w:pPr>
        <w:ind w:right="120"/>
        <w:spacing w:after="0" w:line="268" w:lineRule="auto"/>
        <w:rPr>
          <w:sz w:val="20"/>
          <w:szCs w:val="20"/>
          <w:color w:val="auto"/>
        </w:rPr>
      </w:pPr>
      <w:r>
        <w:rPr>
          <w:rFonts w:ascii="Arial" w:cs="Arial" w:eastAsia="Arial" w:hAnsi="Arial"/>
          <w:sz w:val="17"/>
          <w:szCs w:val="17"/>
          <w:color w:val="auto"/>
        </w:rPr>
        <w:t>Abbott Liability shall be held by AbbVie or, where applicable, an AbbVie Subsidiary or designee for, insofar as reasonably practicable, the benefit and burden of Abbott or the applicable Abbott Subsidiary or designee. Abbott and AbbVie shall, and shall cause their respective Subsidiaries to, take such other actions as may be reasonably requested by the other Party or any of its Subsidiaries in accordance with the provisions of this Agreement so that all the benefits and burdens relating to such Delayed Abbott Asset and Delayed Abbott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Liability, including expenses, risk of loss, potential for gain and control of such Delayed Abbott Asset and Delayed Abbott Liability, shall inure from and after the Effective Time to Abbott or the applicable Abbott Subsidiaries or designees, without recourse of any kind to AbbVie or any AbbVie Subsidiary. Any transfer taxes, registration fees or recordation fees required to be paid to a Governmental Authority in connection with the transfer of a Delayed Abbott Asset or a Delayed Abbott Liability shall be shared equally between the Parties.</w:t>
      </w:r>
    </w:p>
    <w:p>
      <w:pPr>
        <w:spacing w:after="0" w:line="176" w:lineRule="exact"/>
        <w:rPr>
          <w:sz w:val="20"/>
          <w:szCs w:val="20"/>
          <w:color w:val="auto"/>
        </w:rPr>
      </w:pPr>
    </w:p>
    <w:p>
      <w:pPr>
        <w:jc w:val="both"/>
        <w:ind w:right="40" w:firstLine="1263"/>
        <w:spacing w:after="0" w:line="298" w:lineRule="auto"/>
        <w:tabs>
          <w:tab w:leader="none" w:pos="189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Transfer of Delayed Abbott Assets and Delayed Abbott Liabilities</w:t>
      </w:r>
      <w:r>
        <w:rPr>
          <w:rFonts w:ascii="Arial" w:cs="Arial" w:eastAsia="Arial" w:hAnsi="Arial"/>
          <w:sz w:val="16"/>
          <w:szCs w:val="16"/>
          <w:color w:val="auto"/>
        </w:rPr>
        <w:t>. When and as the Parties agree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as of such agreed-upon time (i) the necessary Consents for each Delayed Abbott Asset or Delayed Abbott Liability shall have been obtained; and (ii) the assumption by Abbott or an Abbott Subsidiary or designee of each Delayed Abbott Asset or Delayed Abbott Liability is not at such time a violation of applicable Law:</w:t>
      </w:r>
    </w:p>
    <w:p>
      <w:pPr>
        <w:spacing w:after="0" w:line="153" w:lineRule="exact"/>
        <w:rPr>
          <w:rFonts w:ascii="Arial" w:cs="Arial" w:eastAsia="Arial" w:hAnsi="Arial"/>
          <w:sz w:val="16"/>
          <w:szCs w:val="16"/>
          <w:color w:val="auto"/>
        </w:rPr>
      </w:pPr>
    </w:p>
    <w:p>
      <w:pPr>
        <w:jc w:val="both"/>
        <w:ind w:right="240" w:firstLine="1893"/>
        <w:spacing w:after="0" w:line="326" w:lineRule="auto"/>
        <w:tabs>
          <w:tab w:leader="none" w:pos="2537" w:val="left"/>
        </w:tabs>
        <w:numPr>
          <w:ilvl w:val="1"/>
          <w:numId w:val="28"/>
        </w:numPr>
        <w:rPr>
          <w:rFonts w:ascii="Arial" w:cs="Arial" w:eastAsia="Arial" w:hAnsi="Arial"/>
          <w:sz w:val="15"/>
          <w:szCs w:val="15"/>
          <w:color w:val="auto"/>
        </w:rPr>
      </w:pPr>
      <w:r>
        <w:rPr>
          <w:rFonts w:ascii="Arial" w:cs="Arial" w:eastAsia="Arial" w:hAnsi="Arial"/>
          <w:sz w:val="15"/>
          <w:szCs w:val="15"/>
          <w:color w:val="auto"/>
        </w:rPr>
        <w:t>AbbVie shall, and shall cause each AbbVie Subsidiary to, contribute, assign, transfer, convey and deliver to Abbott or such Abbott Subsidiaries or designees as Abbott may determine, and Abbott shall, and shall cause such Abbott Subsidiaries or designees to, accept from AbbVie and the AbbVie Subsidiaries all of AbbVie’s and the AbbVie Subsidiaries’ respective rights, title and interest in and to such Delayed Abbott Assets; and</w:t>
      </w:r>
    </w:p>
    <w:p>
      <w:pPr>
        <w:spacing w:after="0" w:line="136" w:lineRule="exact"/>
        <w:rPr>
          <w:rFonts w:ascii="Arial" w:cs="Arial" w:eastAsia="Arial" w:hAnsi="Arial"/>
          <w:sz w:val="15"/>
          <w:szCs w:val="15"/>
          <w:color w:val="auto"/>
        </w:rPr>
      </w:pPr>
    </w:p>
    <w:p>
      <w:pPr>
        <w:ind w:right="340" w:firstLine="1893"/>
        <w:spacing w:after="0" w:line="289" w:lineRule="auto"/>
        <w:tabs>
          <w:tab w:leader="none" w:pos="25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Abbott shall, and shall cause such Abbott Subsidiaries or designees as Abbott may determine to, accept, assume and agree faithfully to perform, discharge and fulfill such Delayed Abbott Liabilities, in accordance with their terms.</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xml:space="preserve">. Prior to the Effective Time, the Parties shall execute and deliver, or where applicable shall cause their respective Subsidiaries to execute and deliver, each Ancillary Agreement to which they are intended to be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calls for an Ancillary Agreement to be executed and delivered on or as of a later time, it shall be executed and delivered on or as of such later time.</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2.07.</w:t>
      </w:r>
      <w:r>
        <w:rPr>
          <w:sz w:val="20"/>
          <w:szCs w:val="20"/>
          <w:color w:val="auto"/>
        </w:rPr>
        <w:tab/>
      </w:r>
      <w:r>
        <w:rPr>
          <w:rFonts w:ascii="Arial" w:cs="Arial" w:eastAsia="Arial" w:hAnsi="Arial"/>
          <w:sz w:val="15"/>
          <w:szCs w:val="15"/>
          <w:u w:val="single" w:color="auto"/>
          <w:color w:val="auto"/>
        </w:rPr>
        <w:t>Disclaimer of Representations and Warranties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1" w:lineRule="auto"/>
        <w:tabs>
          <w:tab w:leader="none" w:pos="18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ABBOTT (ON BEHALF OF ITSELF AND EACH OF THE ABBOTT SUBSIDIARIES) AND ABBVIE (ON BEHALF OF ITSELF AND EACH OF THE ABBVIE SUBSIDIARIES) UNDERSTANDS AND AGREES THAT, EXCEPT AS EXPRESSLY SET FORTH HEREIN OR IN ANY ANCILLARY AGREEMENT, NO PARTY TO THIS AGREEMENT, ANY ANCILLARY AGREEMENT OR OTHERWISE, IS: (X) REPRESENTING OR WARRANTING TO ANY OTHER PARTY HERETO OR THERETO IN ANY WAY AS TO (I) THE ASSETS, BUSINESSES OR LIABILITIES TRANSFERRED, LICENSED OR ASSUMED AS CONTEMPLATED HEREBY OR THEREBY; (II) ANY APPROVALS OR NOTIFICATIONS REQUIRED IN CONNECTION HEREWITH OR THEREWITH; (III) THE VALUE OR FREEDOM FROM ANY SECURITY INTERESTS OF, OR ANY OTHER MATTER CONCERNING, ANY ASSETS OF SUCH PARTY; (IV) THE ABSENCE OR PRESENCE OF ANY DEFENSES TO OR RIGHT OF SETOFF AGAINST OR FREEDOM FROM COUNTERCLAIM WITH RESPECT TO ANY PROCEEDING OR OTHER ASSET, INCLUDING ANY ACCOUNTS RECEIVABLE, OF EITHER PARTY; OR (V) THE LEGAL SUFFICIENCY OF ANY CONVEYANCE AND ASSUMPTION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INSTRUMENTS OR ANY OTHER ANCILLARY AGREEMENT TO CONVEY TITLE TO ANY ASSET OR THING OF VALUE UPON THE EXECUTION, DELIVERY AND FILING OF SUCH CONVEYANCE AND ASSUMPTION INSTRUMENTS OR SUCH OTHER ANCILLARY AGREEMENTS; OR (Y) IS MAKING ANY OTHER REPRESENTATIONS OR GRANTING ANY WARRANTIES, EXPRESS OR IMPLIED, EITHER IN FACT OR BY OPERATION OF LAW, BY STATUTE OR OTHERWISE. EACH PARTY SPECIFICALLY DISCLAIMS ANY OTHER WARRANTIES, WHETHER WRITTEN OR ORAL, OR EXPRESS OR IMPLIED, INCLUDING ANY WARRANTY OF QUALITY, MERCHANTABILITY, OR FITNESS FOR A PARTICULAR USE OR PURPOSE OR ANY WARRANTY AS TO THE VALIDITY OF ANY PATENTS OR THE NON-INFRINGEMENT OF ANY PATENTS, TRADEMARKS, OR OTHER INTELLECTUAL PROPERTY RIGHTS OF THIRD PARTIES. EXCEPT AS MAY EXPRESSLY BE SET FORTH IN THIS AGREEMENT OR IN ANY ANCILLARY AGREEMENT, ALL SUCH ASSETS ARE BEING TRANSFERRED OR LICENSED ON AN “AS IS,” “WHERE IS” BASIS (AND, IN THE CASE OF ANY REAL PROPERTY, BY MEANS OF A QUITCLAIM OR SIMILAR FORM DEED OR CONVEYANCE) AND THE RESPECTIVE TRANSFEREES OR LICENSEES SHALL BEAR THE ECONOMIC AND LEGAL RISKS THAT (A) ANY CONVEYANCE AND ASSUMPTION INSTRUMENT OR ANY OTHER ANCILLARY AGREEMENT MAY PROVE TO BE INSUFFICIENT TO VEST IN THE TRANSFEREE GOOD AND MARKETABLE TITLE, FREE AND CLEAR OF ALL SECURITY INTERESTS; AND (B) ANY NECESSARY CONSENTS ARE NOT OBTAINED OR THAT ANY REQUIREMENTS OF LAWS, AGREEMENTS, SECURITY INTERESTS OR JUDGMENTS ARE NOT COMPLIED WITH.</w:t>
      </w:r>
    </w:p>
    <w:p>
      <w:pPr>
        <w:spacing w:after="0" w:line="184" w:lineRule="exact"/>
        <w:rPr>
          <w:sz w:val="20"/>
          <w:szCs w:val="20"/>
          <w:color w:val="auto"/>
        </w:rPr>
      </w:pPr>
    </w:p>
    <w:p>
      <w:pPr>
        <w:ind w:right="40" w:firstLine="1263"/>
        <w:spacing w:after="0" w:line="262" w:lineRule="auto"/>
        <w:tabs>
          <w:tab w:leader="none" w:pos="1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of Abbott (on behalf of itself and each of the Abbott Subsidiaries) and AbbVie (on behalf of itself and each of the AbbVie Subsidiaries) further understands and agrees that if the disclaimer of express or implied representations and warranties contained in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is held unenforceable or is unavailable for any reason under the Laws of any jurisdiction outside the United States or if, under the Laws of a jurisdiction outside the United States, both Abbott or any of the Abbott Subsidiaries, on the one hand, and AbbVie or any of the AbbVie Subsidiaries, on the other hand, are jointly or severally liable for any AbbVie Liability or any Abbott Liability, respectively, then, the Parties intend that, notwithstanding any provision to the contrary under the Laws of such foreign jurisdictions, the provisions of this Agreement and the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w:t>
      </w:r>
    </w:p>
    <w:p>
      <w:pPr>
        <w:spacing w:after="0" w:line="180" w:lineRule="exact"/>
        <w:rPr>
          <w:rFonts w:ascii="Arial" w:cs="Arial" w:eastAsia="Arial" w:hAnsi="Arial"/>
          <w:sz w:val="17"/>
          <w:szCs w:val="17"/>
          <w:color w:val="auto"/>
        </w:rPr>
      </w:pPr>
    </w:p>
    <w:p>
      <w:pPr>
        <w:jc w:val="both"/>
        <w:ind w:right="100" w:firstLine="1263"/>
        <w:spacing w:after="0" w:line="273" w:lineRule="auto"/>
        <w:tabs>
          <w:tab w:leader="none" w:pos="18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hereby waives compliance by itself and each and every AbbVie Subsidiary with the requirements and provisions of any “bulk-sale” or “bulk transfer” Laws of any jurisdiction that may otherwise be applicable with respect to the transfer or sale of any or all of the AbbVie Assets to AbbVie or an AbbVie Subsidiary.</w:t>
      </w:r>
    </w:p>
    <w:p>
      <w:pPr>
        <w:spacing w:after="0" w:line="171" w:lineRule="exact"/>
        <w:rPr>
          <w:rFonts w:ascii="Arial" w:cs="Arial" w:eastAsia="Arial" w:hAnsi="Arial"/>
          <w:sz w:val="17"/>
          <w:szCs w:val="17"/>
          <w:color w:val="auto"/>
        </w:rPr>
      </w:pPr>
    </w:p>
    <w:p>
      <w:pPr>
        <w:ind w:right="100" w:firstLine="1263"/>
        <w:spacing w:after="0" w:line="273" w:lineRule="auto"/>
        <w:tabs>
          <w:tab w:leader="none" w:pos="1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Abbott hereby waives compliance by itself and each and every Abbott Subsidiary with the requirements and provisions of any “bulk-sale” or “bulk transfer” Laws of any jurisdiction that may otherwise be applicable with respect to the transfer or sale of any and all of the Abbott Assets to Abbott or an Abbott Subsidiary.</w:t>
      </w:r>
    </w:p>
    <w:p>
      <w:pPr>
        <w:sectPr>
          <w:pgSz w:w="11900" w:h="16838" w:orient="portrait"/>
          <w:cols w:equalWidth="0" w:num="1">
            <w:col w:w="11420"/>
          </w:cols>
          <w:pgMar w:left="240" w:top="127" w:right="239" w:bottom="126"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26" w:gutter="0" w:footer="0" w:header="0"/>
          <w:type w:val="continuous"/>
        </w:sectPr>
      </w:pPr>
    </w:p>
    <w:bookmarkStart w:id="22" w:name="page23"/>
    <w:bookmarkEnd w:id="22"/>
    <w:p>
      <w:pPr>
        <w:spacing w:after="0" w:line="5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2.08.</w:t>
      </w:r>
      <w:r>
        <w:rPr>
          <w:sz w:val="20"/>
          <w:szCs w:val="20"/>
          <w:color w:val="auto"/>
        </w:rPr>
        <w:tab/>
      </w:r>
      <w:r>
        <w:rPr>
          <w:rFonts w:ascii="Arial" w:cs="Arial" w:eastAsia="Arial" w:hAnsi="Arial"/>
          <w:sz w:val="16"/>
          <w:szCs w:val="16"/>
          <w:u w:val="single" w:color="auto"/>
          <w:color w:val="auto"/>
        </w:rPr>
        <w:t>Credit Facilities; Financing Arrangements; AbbVie Cash Distribution</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73" w:lineRule="auto"/>
        <w:tabs>
          <w:tab w:leader="none" w:pos="188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Credit Facilities</w:t>
      </w:r>
      <w:r>
        <w:rPr>
          <w:rFonts w:ascii="Arial" w:cs="Arial" w:eastAsia="Arial" w:hAnsi="Arial"/>
          <w:sz w:val="17"/>
          <w:szCs w:val="17"/>
          <w:color w:val="auto"/>
        </w:rPr>
        <w:t>. Prior to the Effective Time, Abbott shall enter into the Abbott Credit Facility, and Abbott and AbbVie shall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the AbbVie Credit Facility. Abbott and AbbVie agree to take all necessary actions to assure the full release and discharge of Abbott and each of the Abbott Subsidiaries from all obligations (including any guarantees) under the AbbVie Credit Facility as of no later than the Effective Time.</w:t>
      </w:r>
    </w:p>
    <w:p>
      <w:pPr>
        <w:spacing w:after="0" w:line="171" w:lineRule="exact"/>
        <w:rPr>
          <w:rFonts w:ascii="Arial" w:cs="Arial" w:eastAsia="Arial" w:hAnsi="Arial"/>
          <w:sz w:val="17"/>
          <w:szCs w:val="17"/>
          <w:color w:val="auto"/>
        </w:rPr>
      </w:pPr>
    </w:p>
    <w:p>
      <w:pPr>
        <w:ind w:right="40" w:firstLine="1263"/>
        <w:spacing w:after="0" w:line="273" w:lineRule="auto"/>
        <w:tabs>
          <w:tab w:leader="none" w:pos="18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Financing Arrangements</w:t>
      </w:r>
      <w:r>
        <w:rPr>
          <w:rFonts w:ascii="Arial" w:cs="Arial" w:eastAsia="Arial" w:hAnsi="Arial"/>
          <w:sz w:val="17"/>
          <w:szCs w:val="17"/>
          <w:color w:val="auto"/>
        </w:rPr>
        <w:t>. Prior to the Effective Time, the Financing Arrangements shall have been consummated. Abbott and AbbVie</w:t>
      </w:r>
      <w:r>
        <w:rPr>
          <w:rFonts w:ascii="Arial" w:cs="Arial" w:eastAsia="Arial" w:hAnsi="Arial"/>
          <w:sz w:val="17"/>
          <w:szCs w:val="17"/>
          <w:i w:val="1"/>
          <w:iCs w:val="1"/>
          <w:color w:val="auto"/>
        </w:rPr>
        <w:t xml:space="preserve"> </w:t>
      </w:r>
      <w:r>
        <w:rPr>
          <w:rFonts w:ascii="Arial" w:cs="Arial" w:eastAsia="Arial" w:hAnsi="Arial"/>
          <w:sz w:val="17"/>
          <w:szCs w:val="17"/>
          <w:color w:val="auto"/>
        </w:rPr>
        <w:t>agree to take all necessary actions to assure the full release and discharge of Abbott and each of the Abbott Subsidiaries from all obligations thereunder as of no later than the Effective Time.</w:t>
      </w:r>
    </w:p>
    <w:p>
      <w:pPr>
        <w:spacing w:after="0" w:line="171" w:lineRule="exact"/>
        <w:rPr>
          <w:rFonts w:ascii="Arial" w:cs="Arial" w:eastAsia="Arial" w:hAnsi="Arial"/>
          <w:sz w:val="17"/>
          <w:szCs w:val="17"/>
          <w:color w:val="auto"/>
        </w:rPr>
      </w:pPr>
    </w:p>
    <w:p>
      <w:pPr>
        <w:ind w:right="320" w:firstLine="1263"/>
        <w:spacing w:after="0" w:line="289" w:lineRule="auto"/>
        <w:tabs>
          <w:tab w:leader="none" w:pos="189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AbbVie Cash Distribution</w:t>
      </w:r>
      <w:r>
        <w:rPr>
          <w:rFonts w:ascii="Arial" w:cs="Arial" w:eastAsia="Arial" w:hAnsi="Arial"/>
          <w:sz w:val="17"/>
          <w:szCs w:val="17"/>
          <w:color w:val="auto"/>
        </w:rPr>
        <w:t>. Prior to the Effective Time, AbbVie shall make one or more cash distributions to Abbott in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equal to Thirteen Billion, Two Hundred Million Dollars ($13,200,000,000) (the “</w:t>
      </w:r>
      <w:r>
        <w:rPr>
          <w:rFonts w:ascii="Arial" w:cs="Arial" w:eastAsia="Arial" w:hAnsi="Arial"/>
          <w:sz w:val="17"/>
          <w:szCs w:val="17"/>
          <w:u w:val="single" w:color="auto"/>
          <w:color w:val="auto"/>
        </w:rPr>
        <w:t>AbbVie Cash Distribution</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from AbbVie Cash Distribution. </w:t>
      </w:r>
      <w:r>
        <w:rPr>
          <w:rFonts w:ascii="Arial" w:cs="Arial" w:eastAsia="Arial" w:hAnsi="Arial"/>
          <w:sz w:val="17"/>
          <w:szCs w:val="17"/>
          <w:color w:val="auto"/>
        </w:rPr>
        <w:t>Upon receipt of the AbbVie Cash Distribution, Abbott shall deposit the proceeds in a</w:t>
      </w:r>
      <w:r>
        <w:rPr>
          <w:rFonts w:ascii="Arial" w:cs="Arial" w:eastAsia="Arial" w:hAnsi="Arial"/>
          <w:sz w:val="17"/>
          <w:szCs w:val="17"/>
          <w:i w:val="1"/>
          <w:iCs w:val="1"/>
          <w:color w:val="auto"/>
        </w:rPr>
        <w:t xml:space="preserve"> </w:t>
      </w:r>
      <w:r>
        <w:rPr>
          <w:rFonts w:ascii="Arial" w:cs="Arial" w:eastAsia="Arial" w:hAnsi="Arial"/>
          <w:sz w:val="17"/>
          <w:szCs w:val="17"/>
          <w:color w:val="auto"/>
        </w:rPr>
        <w:t>segregated account and shall use the funds in that account to (i) repay a portion of Abbott’s maturing debt; and (ii) repurchase a portion of Abbott’s existing public debt in one (1) or more tender offers or otherwise, such repayments and repurchases to occur as promptly as practicable, including prior to the Distribution, but in no event later than one (1) year after the Effective Time.</w:t>
      </w:r>
    </w:p>
    <w:p>
      <w:pPr>
        <w:spacing w:after="0" w:line="175" w:lineRule="exact"/>
        <w:rPr>
          <w:rFonts w:ascii="Arial" w:cs="Arial" w:eastAsia="Arial" w:hAnsi="Arial"/>
          <w:sz w:val="17"/>
          <w:szCs w:val="17"/>
          <w:color w:val="auto"/>
        </w:rPr>
      </w:pPr>
    </w:p>
    <w:p>
      <w:pPr>
        <w:ind w:right="80" w:firstLine="1263"/>
        <w:spacing w:after="0" w:line="289" w:lineRule="auto"/>
        <w:tabs>
          <w:tab w:leader="none" w:pos="189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Preparation of Materials. </w:t>
      </w:r>
      <w:r>
        <w:rPr>
          <w:rFonts w:ascii="Arial" w:cs="Arial" w:eastAsia="Arial" w:hAnsi="Arial"/>
          <w:sz w:val="17"/>
          <w:szCs w:val="17"/>
          <w:color w:val="auto"/>
        </w:rPr>
        <w:t>Prior to the Effective Time, Abbott and AbbVie shall cooperate in the preparation of all materials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or advisable to execute the Abbott Credit Facility, the AbbVie Credit Facility and the Financing Arrangements.</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2.09.</w:t>
      </w:r>
      <w:r>
        <w:rPr>
          <w:sz w:val="20"/>
          <w:szCs w:val="20"/>
          <w:color w:val="auto"/>
        </w:rPr>
        <w:tab/>
      </w:r>
      <w:r>
        <w:rPr>
          <w:rFonts w:ascii="Arial" w:cs="Arial" w:eastAsia="Arial" w:hAnsi="Arial"/>
          <w:sz w:val="15"/>
          <w:szCs w:val="15"/>
          <w:u w:val="single" w:color="auto"/>
          <w:color w:val="auto"/>
        </w:rPr>
        <w:t>Termination of Agreements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79" w:lineRule="auto"/>
        <w:tabs>
          <w:tab w:leader="none" w:pos="188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Termination of Agreements Between Abbott and AbbVie</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2.09(b)</w:t>
      </w:r>
      <w:r>
        <w:rPr>
          <w:rFonts w:ascii="Arial" w:cs="Arial" w:eastAsia="Arial" w:hAnsi="Arial"/>
          <w:sz w:val="16"/>
          <w:szCs w:val="16"/>
          <w:color w:val="auto"/>
        </w:rPr>
        <w:t>, the Parties agree that (i) all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commitments or understandings, whether or not in writing, entered into prior to the Effective Time between or among AbbVie or an AbbVie Subsidiary (other than a Transferred Entity that shall be transferred to AbbVie or an AbbVie Subsidiary after the Effective Time as part of a local closing of a Deferred AbbVie Local Business), on the one hand, and Abbott or an Abbott Subsidiary, on the other hand, shall be terminated effective as of immediately prior to the Effective Time; and (ii) all agreements, arrangements, commitments or understandings, whether or not in writing, entered into prior to a local closing of a Deferred AbbVie Local Business between or among a Transferred Entity that shall be transferred to AbbVie or an AbbVie Subsidiary after the Effective Time as part of a local closing of a Deferred AbbVie Local Business, on the one hand, and Abbott or an Abbott Subsidiary, on the other hand, shall be terminated effective as of immediately prior to such local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shall not terminate any rights or obligations (A) between Abbott and any of the Abbott Subsidiaries; or (B) between AbbVie and any of the AbbVie Subsidiaries.</w:t>
      </w:r>
    </w:p>
    <w:p>
      <w:pPr>
        <w:spacing w:after="0" w:line="172" w:lineRule="exact"/>
        <w:rPr>
          <w:rFonts w:ascii="Arial" w:cs="Arial" w:eastAsia="Arial" w:hAnsi="Arial"/>
          <w:sz w:val="16"/>
          <w:szCs w:val="16"/>
          <w:color w:val="auto"/>
        </w:rPr>
      </w:pPr>
    </w:p>
    <w:p>
      <w:pPr>
        <w:ind w:right="440" w:firstLine="1263"/>
        <w:spacing w:after="0" w:line="289" w:lineRule="auto"/>
        <w:tabs>
          <w:tab w:leader="none" w:pos="189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 The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apply to any of the following agreements, arrangements, commitments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understandings (or to any of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provisions thereof): (i) this Agreement and the Ancillary Agreements; (ii) any agreements, arrangements, commitments or understandings listed or described on </w:t>
      </w:r>
      <w:r>
        <w:rPr>
          <w:rFonts w:ascii="Arial" w:cs="Arial" w:eastAsia="Arial" w:hAnsi="Arial"/>
          <w:sz w:val="16"/>
          <w:szCs w:val="16"/>
          <w:u w:val="single" w:color="auto"/>
          <w:color w:val="auto"/>
        </w:rPr>
        <w:t>Schedule 2.09(b)(ii)</w:t>
      </w:r>
      <w:r>
        <w:rPr>
          <w:rFonts w:ascii="Arial" w:cs="Arial" w:eastAsia="Arial" w:hAnsi="Arial"/>
          <w:sz w:val="16"/>
          <w:szCs w:val="16"/>
          <w:color w:val="auto"/>
        </w:rPr>
        <w:t xml:space="preserve">; (iii) any agreements, arrangements, commitments or understandings to which any Third Party is a party; and (iv) any agreements, arrangements, commitments or understandings, including any Mixed Contracts, to which any non-wholly owned Subsidiary of Abbott or AbbVie, as the case may be, is a party (except with respect to any Subsidiary listed on </w:t>
      </w:r>
      <w:r>
        <w:rPr>
          <w:rFonts w:ascii="Arial" w:cs="Arial" w:eastAsia="Arial" w:hAnsi="Arial"/>
          <w:sz w:val="16"/>
          <w:szCs w:val="16"/>
          <w:u w:val="single" w:color="auto"/>
          <w:color w:val="auto"/>
        </w:rPr>
        <w:t>Schedule 2.09(b)(iv)</w:t>
      </w:r>
      <w:r>
        <w:rPr>
          <w:rFonts w:ascii="Arial" w:cs="Arial" w:eastAsia="Arial" w:hAnsi="Arial"/>
          <w:sz w:val="16"/>
          <w:szCs w:val="16"/>
          <w:color w:val="auto"/>
        </w:rPr>
        <w:t xml:space="preserve">) (it being understood that directors’ qualifying shares or similar interests shall be disregarded for purposes of determining whether a Subsidiary is wholly owned). To the extent that the rights and obligations of Abbott or an Abbott Subsidiary under any agreements, arrangements, commitments or understandings not terminated under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constitute AbbVie Assets or AbbVie Liabilities, they shall be assigned or assumed by AbbVie or the applicable AbbVie Subsidiary or designee pursuant to this Agreement.</w:t>
      </w:r>
    </w:p>
    <w:p>
      <w:pPr>
        <w:spacing w:after="0" w:line="17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6"/>
          <w:szCs w:val="16"/>
          <w:u w:val="single" w:color="auto"/>
          <w:color w:val="auto"/>
        </w:rPr>
        <w:t>Settlement of Accounts between Abbott and AbbVie</w:t>
      </w:r>
      <w:r>
        <w:rPr>
          <w:rFonts w:ascii="Arial" w:cs="Arial" w:eastAsia="Arial" w:hAnsi="Arial"/>
          <w:sz w:val="16"/>
          <w:szCs w:val="16"/>
          <w:color w:val="auto"/>
        </w:rPr>
        <w:t>.</w:t>
      </w:r>
    </w:p>
    <w:p>
      <w:pPr>
        <w:spacing w:after="0" w:line="224" w:lineRule="exact"/>
        <w:rPr>
          <w:sz w:val="20"/>
          <w:szCs w:val="20"/>
          <w:color w:val="auto"/>
        </w:rPr>
      </w:pPr>
    </w:p>
    <w:p>
      <w:pPr>
        <w:ind w:right="120" w:firstLine="1263"/>
        <w:spacing w:after="0" w:line="265" w:lineRule="auto"/>
        <w:tabs>
          <w:tab w:leader="none" w:pos="18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intercompany receivables and payables (i) as to which there are no Third Parties; and (ii) that are between Abbott or an Abbott Subsidiary that is incorporated in the United States, on the one hand, and AbbVie or an AbbVie Subsidiary that is incorporated in the United States, on the other hand, that exist as of immediately prior to the Effective Time, shall, as of immediately prior to the Effective Time, be settled, capitalized, cancelled, assigned or assumed by AbbVie or one or more AbbVie Subsidiaries, in each case in the manner determined prior to the Effective Time by duly authorized representatives of Abbott and AbbVie.</w:t>
      </w:r>
    </w:p>
    <w:p>
      <w:pPr>
        <w:spacing w:after="0" w:line="179" w:lineRule="exact"/>
        <w:rPr>
          <w:rFonts w:ascii="Arial" w:cs="Arial" w:eastAsia="Arial" w:hAnsi="Arial"/>
          <w:sz w:val="17"/>
          <w:szCs w:val="17"/>
          <w:color w:val="auto"/>
        </w:rPr>
      </w:pPr>
    </w:p>
    <w:p>
      <w:pPr>
        <w:ind w:right="120" w:firstLine="1263"/>
        <w:spacing w:after="0" w:line="268" w:lineRule="auto"/>
        <w:tabs>
          <w:tab w:leader="none" w:pos="18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other intercompany receivables and payables (i) as to which there are no Third Parties; and (ii) that are between Abbott or an Abbott Subsidiary, on the one hand, and AbbVie or an AbbVie Subsidiary, on the other hand, that exist as of immediately prior to the Effective Time, shall, as of immediately after the Effective Time, continue as receivables or payables between Abbott or any Abbott Subsidiary, on the one hand, and AbbVie or any AbbVie Subsidiary, on the other hand, on the same terms and conditions as applied immediately prior to the Effective Time.</w:t>
      </w:r>
    </w:p>
    <w:p>
      <w:pPr>
        <w:spacing w:after="0" w:line="175" w:lineRule="exact"/>
        <w:rPr>
          <w:rFonts w:ascii="Arial" w:cs="Arial" w:eastAsia="Arial" w:hAnsi="Arial"/>
          <w:sz w:val="17"/>
          <w:szCs w:val="17"/>
          <w:color w:val="auto"/>
        </w:rPr>
      </w:pPr>
    </w:p>
    <w:p>
      <w:pPr>
        <w:ind w:right="60" w:firstLine="1263"/>
        <w:spacing w:after="0" w:line="285" w:lineRule="auto"/>
        <w:tabs>
          <w:tab w:leader="none" w:pos="18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Abbott and AbbVie each agrees to take, or cause their respective Subsidiaries to take, prior to the Effective Time, all actions necessary to amend all AbbVie Contracts governing each bank and brokerage account owned by AbbVie or an AbbVie Subsidiary (collectively, the “</w:t>
      </w:r>
      <w:r>
        <w:rPr>
          <w:rFonts w:ascii="Arial" w:cs="Arial" w:eastAsia="Arial" w:hAnsi="Arial"/>
          <w:sz w:val="16"/>
          <w:szCs w:val="16"/>
          <w:u w:val="single" w:color="auto"/>
          <w:color w:val="auto"/>
        </w:rPr>
        <w:t>AbbVie Accounts</w:t>
      </w:r>
      <w:r>
        <w:rPr>
          <w:rFonts w:ascii="Arial" w:cs="Arial" w:eastAsia="Arial" w:hAnsi="Arial"/>
          <w:sz w:val="16"/>
          <w:szCs w:val="16"/>
          <w:color w:val="auto"/>
        </w:rPr>
        <w:t>”), so that such AbbVie Accounts, if currently linked (whether by automatic withdrawal, automatic deposit or any other authorization to transfer funds from or to, hereinafter “</w:t>
      </w:r>
      <w:r>
        <w:rPr>
          <w:rFonts w:ascii="Arial" w:cs="Arial" w:eastAsia="Arial" w:hAnsi="Arial"/>
          <w:sz w:val="16"/>
          <w:szCs w:val="16"/>
          <w:u w:val="single" w:color="auto"/>
          <w:color w:val="auto"/>
        </w:rPr>
        <w:t>linked</w:t>
      </w:r>
      <w:r>
        <w:rPr>
          <w:rFonts w:ascii="Arial" w:cs="Arial" w:eastAsia="Arial" w:hAnsi="Arial"/>
          <w:sz w:val="16"/>
          <w:szCs w:val="16"/>
          <w:color w:val="auto"/>
        </w:rPr>
        <w:t>”) to any bank or brokerage account owned by Abbott or an Abbott Subsidiary (collectively, the “</w:t>
      </w:r>
      <w:r>
        <w:rPr>
          <w:rFonts w:ascii="Arial" w:cs="Arial" w:eastAsia="Arial" w:hAnsi="Arial"/>
          <w:sz w:val="16"/>
          <w:szCs w:val="16"/>
          <w:u w:val="single" w:color="auto"/>
          <w:color w:val="auto"/>
        </w:rPr>
        <w:t>Abbott Accounts</w:t>
      </w:r>
      <w:r>
        <w:rPr>
          <w:rFonts w:ascii="Arial" w:cs="Arial" w:eastAsia="Arial" w:hAnsi="Arial"/>
          <w:sz w:val="16"/>
          <w:szCs w:val="16"/>
          <w:color w:val="auto"/>
        </w:rPr>
        <w:t xml:space="preserve">”), including all Abbott Accounts listed or described on </w:t>
      </w:r>
      <w:r>
        <w:rPr>
          <w:rFonts w:ascii="Arial" w:cs="Arial" w:eastAsia="Arial" w:hAnsi="Arial"/>
          <w:sz w:val="16"/>
          <w:szCs w:val="16"/>
          <w:u w:val="single" w:color="auto"/>
          <w:color w:val="auto"/>
        </w:rPr>
        <w:t>Schedule 2.10(c)</w:t>
      </w:r>
      <w:r>
        <w:rPr>
          <w:rFonts w:ascii="Arial" w:cs="Arial" w:eastAsia="Arial" w:hAnsi="Arial"/>
          <w:sz w:val="16"/>
          <w:szCs w:val="16"/>
          <w:color w:val="auto"/>
        </w:rPr>
        <w:t>, are de-linked from the Abbott Accounts effective at or prior to the Effective Time.</w:t>
      </w:r>
    </w:p>
    <w:p>
      <w:pPr>
        <w:spacing w:after="0" w:line="166" w:lineRule="exact"/>
        <w:rPr>
          <w:rFonts w:ascii="Arial" w:cs="Arial" w:eastAsia="Arial" w:hAnsi="Arial"/>
          <w:sz w:val="16"/>
          <w:szCs w:val="16"/>
          <w:color w:val="auto"/>
        </w:rPr>
      </w:pPr>
    </w:p>
    <w:p>
      <w:pPr>
        <w:ind w:right="220" w:firstLine="1263"/>
        <w:spacing w:after="0" w:line="322" w:lineRule="auto"/>
        <w:tabs>
          <w:tab w:leader="none" w:pos="18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 respect to any outstanding checks issued by Abbott, AbbVie, or any of their respective Subsidiaries prior to the Effective Time, such outstanding checks shall be honored following the Effective Time by the Person owning the account on which the check is drawn.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firstLine="1263"/>
        <w:spacing w:after="0" w:line="326" w:lineRule="auto"/>
        <w:tabs>
          <w:tab w:leader="none" w:pos="189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As between Abbott and AbbVie (and their respective Subsidiaries) all payments and reimbursements received after the Effective Time by either Party (or any of its Subsidiaries) in respect or satisfaction of a business, Asset or Liability of the other Party (or any of its Subsidiaries), shall be held by such Party in trust for the use and benefit of the Party entitled thereto and, as promptly as commercially practicable or as otherwise agreed between the Parties,</w:t>
      </w:r>
    </w:p>
    <w:p>
      <w:pPr>
        <w:sectPr>
          <w:pgSz w:w="11900" w:h="16893" w:orient="portrait"/>
          <w:cols w:equalWidth="0" w:num="1">
            <w:col w:w="11400"/>
          </w:cols>
          <w:pgMar w:left="240" w:top="337" w:right="259" w:bottom="0" w:gutter="0" w:footer="0" w:header="0"/>
        </w:sectPr>
      </w:pPr>
    </w:p>
    <w:bookmarkStart w:id="23" w:name="page24"/>
    <w:bookmarkEnd w:id="23"/>
    <w:p>
      <w:pPr>
        <w:spacing w:after="0" w:line="5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upon receipt by such Party of any such payment or reimbursement, such Party shall pay over, or shall cause its applicable Subsidiary to pay over, to the other Party the amount of such payment or reimbursement.</w:t>
      </w:r>
    </w:p>
    <w:p>
      <w:pPr>
        <w:spacing w:after="0" w:line="15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2.11.</w:t>
      </w:r>
      <w:r>
        <w:rPr>
          <w:sz w:val="20"/>
          <w:szCs w:val="20"/>
          <w:color w:val="auto"/>
        </w:rPr>
        <w:tab/>
      </w:r>
      <w:r>
        <w:rPr>
          <w:rFonts w:ascii="Arial" w:cs="Arial" w:eastAsia="Arial" w:hAnsi="Arial"/>
          <w:sz w:val="16"/>
          <w:szCs w:val="16"/>
          <w:u w:val="single" w:color="auto"/>
          <w:color w:val="auto"/>
        </w:rPr>
        <w:t>Novation of Liabilities; Release of Guarantees</w:t>
      </w:r>
      <w:r>
        <w:rPr>
          <w:rFonts w:ascii="Arial" w:cs="Arial" w:eastAsia="Arial" w:hAnsi="Arial"/>
          <w:sz w:val="16"/>
          <w:szCs w:val="16"/>
          <w:color w:val="auto"/>
        </w:rPr>
        <w:t>.</w:t>
      </w:r>
    </w:p>
    <w:p>
      <w:pPr>
        <w:spacing w:after="0" w:line="224" w:lineRule="exact"/>
        <w:rPr>
          <w:sz w:val="20"/>
          <w:szCs w:val="20"/>
          <w:color w:val="auto"/>
        </w:rPr>
      </w:pPr>
    </w:p>
    <w:p>
      <w:pPr>
        <w:ind w:left="1880" w:hanging="617"/>
        <w:spacing w:after="0"/>
        <w:tabs>
          <w:tab w:leader="none" w:pos="18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Novation of AbbVie Liabilities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893"/>
        <w:spacing w:after="0" w:line="262" w:lineRule="auto"/>
        <w:tabs>
          <w:tab w:leader="none" w:pos="2538"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Each of Abbott and AbbVie, at the request of the other Party, shall use commercially reasonable efforts to obtain, or cause to be obtained, any Consent, substitution, approval or amendment required to novate or assign all AbbVie Liabilities and obtain in writing the unconditional release of Abbott and each Abbott Subsidiary that is a party to any such arrangements, so that, in any such case, AbbVie and the designated AbbVie Subsidiaries shall be solely responsible for such AbbVie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the Ancillary Agreements, neither Abbott nor AbbVie (nor any of their respective Subsidiaries) shall be obligated to contribute any capital, pay any consideration, grant any concession or incur any additional Liability to any Third Party other than ordinary and customary fees to a Governmental Authority from whom such Consents, substitutions, approvals, amendments, terminations or releases are requested.</w:t>
      </w:r>
    </w:p>
    <w:p>
      <w:pPr>
        <w:spacing w:after="0" w:line="184" w:lineRule="exact"/>
        <w:rPr>
          <w:rFonts w:ascii="Arial" w:cs="Arial" w:eastAsia="Arial" w:hAnsi="Arial"/>
          <w:sz w:val="17"/>
          <w:szCs w:val="17"/>
          <w:color w:val="auto"/>
        </w:rPr>
      </w:pPr>
    </w:p>
    <w:p>
      <w:pPr>
        <w:ind w:right="20" w:firstLine="1893"/>
        <w:spacing w:after="0" w:line="278" w:lineRule="auto"/>
        <w:tabs>
          <w:tab w:leader="none" w:pos="2547"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Abbott or AbbVie is unable to obtain, or to cause to be obtained, any such required Consent, substitution, approval, amendment, termination or release, Abbott or the applicable Abbott Subsidiary shall continue to be bound by such arrangement and, unless not permitted by the terms thereof or by Law, AbbVie shall, as agent or subcontractor for Abbott or such Abbott Subsidiary, as the case may be, pay, perform and discharge fully all the obligations or other Liabilities of Abbott or such Abbott Subsidiary, as the case may be, that constitute AbbVie Liabilities thereunder from and after the Effective Time. Abbott shall cause each Abbott Subsidiary without further consideration, to pay and remit, or cause to be paid or remitted, to AbbVie, promptly all money, rights and other consideration received by it or an Abbott Subsidiary in respect of AbbVie’s performance as agent or subcontractor for Abbott or such Abbott Subsidiary, as the case may be, with respect to such Liabilities of Abbott or the applicable Abbott Subsidiary (unless any such consideration is an Abbott Asset). Subject to </w:t>
      </w:r>
      <w:r>
        <w:rPr>
          <w:rFonts w:ascii="Arial" w:cs="Arial" w:eastAsia="Arial" w:hAnsi="Arial"/>
          <w:sz w:val="16"/>
          <w:szCs w:val="16"/>
          <w:u w:val="single" w:color="auto"/>
          <w:color w:val="auto"/>
        </w:rPr>
        <w:t>Section 2.03</w:t>
      </w:r>
      <w:r>
        <w:rPr>
          <w:rFonts w:ascii="Arial" w:cs="Arial" w:eastAsia="Arial" w:hAnsi="Arial"/>
          <w:sz w:val="16"/>
          <w:szCs w:val="16"/>
          <w:color w:val="auto"/>
        </w:rPr>
        <w:t>, with respect to the local closing of a Deferred AbbVie Local Business, if and when any such Consent, substitution, approval, amendment, termination or release shall be obtained or the obligations under such arrangements shall otherwise become assignable or able to be novated, Abbott or the applicable Abbott Subsidiary shall promptly assign or novate, or cause to be assigned or novated, all its obligations and other Liabilities thereunder or any obligations of Abbott or an Abbott Subsidiary to AbbVie or its designated AbbVie Subsidiary without payment of further consideration and AbbVie or such AbbVie Subsidiary shall, without the payment of any further consideration, assume such obligations.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Novation of Abbott Liabilities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893"/>
        <w:spacing w:after="0" w:line="262" w:lineRule="auto"/>
        <w:tabs>
          <w:tab w:leader="none" w:pos="253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Each of Abbott and AbbVie, at the request of the other Party, shall use commercially reasonable efforts to obtain, or cause to be obtained, any Consent, substitution, approval or amendment required to novate or assign all Abbott Liabilities and obtain in writing the unconditional release of AbbVie and each AbbVie Subsidiary that is a party to any such arrangements, so that, in any such case, Abbott and the designated Abbott Subsidiaries shall be solely responsible for such Abbott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the Ancillary Agreements, neither Abbott nor AbbVie (nor any of their respective Subsidiaries) shall be obligated to contribute any capital, pay any consideration, grant any concession or incur any additional Liability to any Third Party other than ordinary and customary fees to a Governmental Authority from whom such Consents, substitutions, approvals, amendments, terminations or releases are requested.</w:t>
      </w:r>
    </w:p>
    <w:p>
      <w:pPr>
        <w:spacing w:after="0" w:line="184" w:lineRule="exact"/>
        <w:rPr>
          <w:rFonts w:ascii="Arial" w:cs="Arial" w:eastAsia="Arial" w:hAnsi="Arial"/>
          <w:sz w:val="17"/>
          <w:szCs w:val="17"/>
          <w:color w:val="auto"/>
        </w:rPr>
      </w:pPr>
    </w:p>
    <w:p>
      <w:pPr>
        <w:ind w:firstLine="1893"/>
        <w:spacing w:after="0" w:line="260" w:lineRule="auto"/>
        <w:tabs>
          <w:tab w:leader="none" w:pos="2547"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Abbott or AbbVie is unable to obtain, or to cause to be obtained, any such required Consent, substitution, approval, amendment, termination or release, AbbVie or the applicable AbbVie Subsidiary shall continue to be bound by such arrangement and, unless not permitted by the terms thereof or by Law, Abbott shall, as agent or subcontractor for AbbVie or such AbbVie Subsidiary, as the case may be, pay, perform and discharge fully all the obligations or other Liabilities of AbbVie or such AbbVie Subsidiary, as the case may be, that constitute Abbott Liabilities, as the case may be, thereunder from and after the Effective Time. AbbVie shall cause each AbbVie Subsidiary without further consideration, to pay and remit, or cause to be paid or remitted, to Abbott, promptly all money, rights and other consideration received by it or an AbbVie Subsidiary in respect of Abbott’s performance as agent or subcontractor for AbbVie or such AbbVie Subsidiary, as the case may be, with respect to such Liabilities of AbbVie or the applicable AbbVie Subsidiary (unless any such consideration is an AbbVie Asset). If and when any such Consent, substitution, approval, amendment, termination or release shall be obtained or the obligations under such arrangements shall otherwise become assignable or able to be novated, AbbVie or the applicable AbbVie Subsidiary shall promptly assign or novate, or cause to be assigned or novated, all its obligations and other Liabilities thereunder or any obligations of AbbVie or an AbbVie Subsidiary to Abbott or its designated Abbott Subsidiary without payment of further consideration and Abbott or such Abbott Subsidiary shall, without the payment of any further consideration, assume such obligations.</w:t>
      </w:r>
    </w:p>
    <w:p>
      <w:pPr>
        <w:spacing w:after="0" w:line="185" w:lineRule="exact"/>
        <w:rPr>
          <w:rFonts w:ascii="Arial" w:cs="Arial" w:eastAsia="Arial" w:hAnsi="Arial"/>
          <w:sz w:val="17"/>
          <w:szCs w:val="17"/>
          <w:color w:val="auto"/>
        </w:rPr>
      </w:pPr>
    </w:p>
    <w:p>
      <w:pPr>
        <w:ind w:left="1900" w:hanging="637"/>
        <w:spacing w:after="0"/>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Release of Guarantees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80" w:lineRule="auto"/>
        <w:tabs>
          <w:tab w:leader="none" w:pos="25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Except as otherwise expressly set forth in any International Transition Period Agreements, each of Abbott and AbbVie, at the request of the other Party, shall use commercially reasonable efforts, as soon as is reasonably practicable, to (A) have AbbVie or an AbbVie Subsidiary removed as guarantor of or obligor for any Abbott Liability to the extent that such guarantees or obligations relate to Abbott Liabilities, which shall include the removal of any Security Interest on or in any AbbVie Asset that may serve as collateral or security for any such Abbott Liability; and (B) have Abbott or an Abbott Subsidiary removed as guarantor of or obligor for any AbbVie Liability to the extent that such guarantees or obligations relate to AbbVie Liabilities, which shall include the removal of any Security Interest on or in any Abbott Asset that may serve as collateral or security for any such AbbVie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expressly provided in the Ancillary Agreements and without limiting the requirements under </w:t>
      </w:r>
      <w:r>
        <w:rPr>
          <w:rFonts w:ascii="Arial" w:cs="Arial" w:eastAsia="Arial" w:hAnsi="Arial"/>
          <w:sz w:val="16"/>
          <w:szCs w:val="16"/>
          <w:u w:val="single" w:color="auto"/>
          <w:color w:val="auto"/>
        </w:rPr>
        <w:t>Section 2.11(c)(ii)</w:t>
      </w:r>
      <w:r>
        <w:rPr>
          <w:rFonts w:ascii="Arial" w:cs="Arial" w:eastAsia="Arial" w:hAnsi="Arial"/>
          <w:sz w:val="16"/>
          <w:szCs w:val="16"/>
          <w:color w:val="auto"/>
        </w:rPr>
        <w:t xml:space="preserve">, the use of commercially reasonable efforts under this </w:t>
      </w:r>
      <w:r>
        <w:rPr>
          <w:rFonts w:ascii="Arial" w:cs="Arial" w:eastAsia="Arial" w:hAnsi="Arial"/>
          <w:sz w:val="16"/>
          <w:szCs w:val="16"/>
          <w:u w:val="single" w:color="auto"/>
          <w:color w:val="auto"/>
        </w:rPr>
        <w:t>Section 2.11(c)(i)</w:t>
      </w:r>
      <w:r>
        <w:rPr>
          <w:rFonts w:ascii="Arial" w:cs="Arial" w:eastAsia="Arial" w:hAnsi="Arial"/>
          <w:sz w:val="16"/>
          <w:szCs w:val="16"/>
          <w:color w:val="auto"/>
        </w:rPr>
        <w:t xml:space="preserve"> shall not obligate either Abbott or AbbVie (nor any of their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360" w:lineRule="auto"/>
        <w:rPr>
          <w:sz w:val="20"/>
          <w:szCs w:val="20"/>
          <w:color w:val="auto"/>
        </w:rPr>
      </w:pPr>
      <w:r>
        <w:rPr>
          <w:rFonts w:ascii="Arial" w:cs="Arial" w:eastAsia="Arial" w:hAnsi="Arial"/>
          <w:sz w:val="15"/>
          <w:szCs w:val="15"/>
          <w:color w:val="auto"/>
        </w:rPr>
        <w:t>respective Subsidiaries) to contribute any capital, pay any consideration, grant any concession or incur any additional Liability to any Third Party other than ordinary and customary fees to a Governmental Authority from whom such Consents, substitutions, amendments, terminations or releases are requested.</w:t>
      </w:r>
    </w:p>
    <w:p>
      <w:pPr>
        <w:spacing w:after="0" w:line="112" w:lineRule="exact"/>
        <w:rPr>
          <w:sz w:val="20"/>
          <w:szCs w:val="20"/>
          <w:color w:val="auto"/>
        </w:rPr>
      </w:pPr>
    </w:p>
    <w:p>
      <w:pPr>
        <w:ind w:left="2560" w:hanging="667"/>
        <w:spacing w:after="0"/>
        <w:tabs>
          <w:tab w:leader="none" w:pos="2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the extent required to obtain a release from a guarantee:</w:t>
      </w:r>
    </w:p>
    <w:p>
      <w:pPr>
        <w:spacing w:after="0" w:line="224" w:lineRule="exact"/>
        <w:rPr>
          <w:rFonts w:ascii="Arial" w:cs="Arial" w:eastAsia="Arial" w:hAnsi="Arial"/>
          <w:sz w:val="17"/>
          <w:szCs w:val="17"/>
          <w:color w:val="auto"/>
        </w:rPr>
      </w:pPr>
    </w:p>
    <w:p>
      <w:pPr>
        <w:jc w:val="both"/>
        <w:ind w:right="60" w:firstLine="2522"/>
        <w:spacing w:after="0" w:line="326" w:lineRule="auto"/>
        <w:tabs>
          <w:tab w:leader="none" w:pos="3166" w:val="left"/>
        </w:tabs>
        <w:numPr>
          <w:ilvl w:val="1"/>
          <w:numId w:val="37"/>
        </w:numPr>
        <w:rPr>
          <w:rFonts w:ascii="Arial" w:cs="Arial" w:eastAsia="Arial" w:hAnsi="Arial"/>
          <w:sz w:val="15"/>
          <w:szCs w:val="15"/>
          <w:color w:val="auto"/>
        </w:rPr>
      </w:pPr>
      <w:r>
        <w:rPr>
          <w:rFonts w:ascii="Arial" w:cs="Arial" w:eastAsia="Arial" w:hAnsi="Arial"/>
          <w:sz w:val="15"/>
          <w:szCs w:val="15"/>
          <w:color w:val="auto"/>
        </w:rPr>
        <w:t>of Abbott or an Abbott Subsidiary, AbbVie shall execute a guarantee agreement in the form of the existing guarantee or such other form as is agreed to by the relevant parties to such guarantee agreement, which agreement shall include the removal of any Security Interest on or in any Abbott Asset that may serve as collateral or security for any such AbbVie Liability, except to the extent that such existing guarantee contains representations,</w:t>
      </w:r>
    </w:p>
    <w:p>
      <w:pPr>
        <w:sectPr>
          <w:pgSz w:w="11900" w:h="16893" w:orient="portrait"/>
          <w:cols w:equalWidth="0" w:num="1">
            <w:col w:w="11400"/>
          </w:cols>
          <w:pgMar w:left="240" w:top="127" w:right="259" w:bottom="0" w:gutter="0" w:footer="0" w:header="0"/>
        </w:sectPr>
      </w:pPr>
    </w:p>
    <w:bookmarkStart w:id="24" w:name="page25"/>
    <w:bookmarkEnd w:id="24"/>
    <w:p>
      <w:pPr>
        <w:ind w:right="740"/>
        <w:spacing w:after="0" w:line="289" w:lineRule="auto"/>
        <w:rPr>
          <w:sz w:val="20"/>
          <w:szCs w:val="20"/>
          <w:color w:val="auto"/>
        </w:rPr>
      </w:pPr>
      <w:r>
        <w:rPr>
          <w:rFonts w:ascii="Arial" w:cs="Arial" w:eastAsia="Arial" w:hAnsi="Arial"/>
          <w:sz w:val="17"/>
          <w:szCs w:val="17"/>
          <w:color w:val="auto"/>
        </w:rPr>
        <w:t>covenants or other terms or provisions either with which AbbVie (1) would be reasonably unable to comply or (2) would not reasonably be able to avoid breaching; and</w:t>
      </w:r>
    </w:p>
    <w:p>
      <w:pPr>
        <w:spacing w:after="0" w:line="158" w:lineRule="exact"/>
        <w:rPr>
          <w:sz w:val="20"/>
          <w:szCs w:val="20"/>
          <w:color w:val="auto"/>
        </w:rPr>
      </w:pPr>
    </w:p>
    <w:p>
      <w:pPr>
        <w:ind w:right="20" w:firstLine="2522"/>
        <w:spacing w:after="0" w:line="314" w:lineRule="auto"/>
        <w:tabs>
          <w:tab w:leader="none" w:pos="3156" w:val="left"/>
        </w:tabs>
        <w:numPr>
          <w:ilvl w:val="2"/>
          <w:numId w:val="38"/>
        </w:numPr>
        <w:rPr>
          <w:rFonts w:ascii="Arial" w:cs="Arial" w:eastAsia="Arial" w:hAnsi="Arial"/>
          <w:sz w:val="15"/>
          <w:szCs w:val="15"/>
          <w:color w:val="auto"/>
        </w:rPr>
      </w:pPr>
      <w:r>
        <w:rPr>
          <w:rFonts w:ascii="Arial" w:cs="Arial" w:eastAsia="Arial" w:hAnsi="Arial"/>
          <w:sz w:val="15"/>
          <w:szCs w:val="15"/>
          <w:color w:val="auto"/>
        </w:rPr>
        <w:t>of AbbVie or an AbbVie Subsidiary, Abbott shall execute a guarantee agreement in the form of the existing guarantee or such other form as is agreed to by the relevant parties to such guarantee agreement, which agreement shall include the removal of any Security Interest on or in any AbbVie Asset that may serve as collateral or security for any such Abbott Liability, except to the extent that such existing guarantee contains representations, covenants or other terms or provisions either with which Abbott (1) would be reasonably unable to comply or (2) would not reasonably be able to avoid breaching.</w:t>
      </w:r>
    </w:p>
    <w:p>
      <w:pPr>
        <w:spacing w:after="0" w:line="146" w:lineRule="exact"/>
        <w:rPr>
          <w:rFonts w:ascii="Arial" w:cs="Arial" w:eastAsia="Arial" w:hAnsi="Arial"/>
          <w:sz w:val="15"/>
          <w:szCs w:val="15"/>
          <w:color w:val="auto"/>
        </w:rPr>
      </w:pPr>
    </w:p>
    <w:p>
      <w:pPr>
        <w:ind w:left="2560" w:hanging="667"/>
        <w:spacing w:after="0"/>
        <w:tabs>
          <w:tab w:leader="none" w:pos="25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If Abbott or AbbVie is unable to obtain, or to cause to be obtained, any such required removal or release as set forth in clauses</w:t>
      </w:r>
    </w:p>
    <w:p>
      <w:pPr>
        <w:spacing w:after="0" w:line="49" w:lineRule="exact"/>
        <w:rPr>
          <w:rFonts w:ascii="Arial" w:cs="Arial" w:eastAsia="Arial" w:hAnsi="Arial"/>
          <w:sz w:val="15"/>
          <w:szCs w:val="15"/>
          <w:color w:val="auto"/>
        </w:rPr>
      </w:pPr>
    </w:p>
    <w:p>
      <w:pPr>
        <w:ind w:firstLine="5"/>
        <w:spacing w:after="0" w:line="260" w:lineRule="auto"/>
        <w:tabs>
          <w:tab w:leader="none" w:pos="209"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and (ii) of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 the Party or its relevant Subsidiary that has assumed the Liability with respect to such guarantee shall indemnify and hold harmless the guarantor or obligor against or from any Liability arising from or relating thereto (in accordance with the provisions of </w:t>
      </w:r>
      <w:r>
        <w:rPr>
          <w:rFonts w:ascii="Arial" w:cs="Arial" w:eastAsia="Arial" w:hAnsi="Arial"/>
          <w:sz w:val="17"/>
          <w:szCs w:val="17"/>
          <w:u w:val="single" w:color="auto"/>
          <w:color w:val="auto"/>
        </w:rPr>
        <w:t>Article IV</w:t>
      </w:r>
      <w:r>
        <w:rPr>
          <w:rFonts w:ascii="Arial" w:cs="Arial" w:eastAsia="Arial" w:hAnsi="Arial"/>
          <w:sz w:val="17"/>
          <w:szCs w:val="17"/>
          <w:color w:val="auto"/>
        </w:rPr>
        <w:t>) and shall or shall cause one of its Subsidiaries, as agent or subcontractor for such guarantor or obligor, to pay, perform and discharge fully all the obligations or other Liabilities of such guarantor or obligor thereunder; and (B) except as otherwise expressly set forth in the International Transition Period Agreements, each of Abbott and AbbVie, on behalf of themselves and their respective Subsidiaries, agree not to renew or extend the term of, increase its obligations under, or transfer to a Third Party, any loan, guarantee, lease, contract or other obligation for which the other Party or such Party’s Subsidiaries is or may be liable unless all obligations of such other Party and the Subsidiaries of such other Party with respect thereto are thereupon terminated by documentation reasonably satisfactory in form and substance to such other Party.</w:t>
      </w:r>
    </w:p>
    <w:p>
      <w:pPr>
        <w:spacing w:after="0" w:line="18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2.12.</w:t>
      </w:r>
      <w:r>
        <w:rPr>
          <w:sz w:val="20"/>
          <w:szCs w:val="20"/>
          <w:color w:val="auto"/>
        </w:rPr>
        <w:tab/>
      </w:r>
      <w:r>
        <w:rPr>
          <w:rFonts w:ascii="Arial" w:cs="Arial" w:eastAsia="Arial" w:hAnsi="Arial"/>
          <w:sz w:val="16"/>
          <w:szCs w:val="16"/>
          <w:u w:val="single" w:color="auto"/>
          <w:color w:val="auto"/>
        </w:rPr>
        <w:t>Mixed Contracts; Mixed Accounts</w:t>
      </w:r>
      <w:r>
        <w:rPr>
          <w:rFonts w:ascii="Arial" w:cs="Arial" w:eastAsia="Arial" w:hAnsi="Arial"/>
          <w:sz w:val="16"/>
          <w:szCs w:val="16"/>
          <w:color w:val="auto"/>
        </w:rPr>
        <w:t>.</w:t>
      </w:r>
    </w:p>
    <w:p>
      <w:pPr>
        <w:spacing w:after="0" w:line="224" w:lineRule="exact"/>
        <w:rPr>
          <w:sz w:val="20"/>
          <w:szCs w:val="20"/>
          <w:color w:val="auto"/>
        </w:rPr>
      </w:pPr>
    </w:p>
    <w:p>
      <w:pPr>
        <w:jc w:val="both"/>
        <w:ind w:right="20" w:firstLine="1263"/>
        <w:spacing w:after="0" w:line="278" w:lineRule="auto"/>
        <w:tabs>
          <w:tab w:leader="none" w:pos="1885"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Mixed Contracts</w:t>
      </w:r>
      <w:r>
        <w:rPr>
          <w:rFonts w:ascii="Arial" w:cs="Arial" w:eastAsia="Arial" w:hAnsi="Arial"/>
          <w:sz w:val="16"/>
          <w:szCs w:val="16"/>
          <w:color w:val="auto"/>
        </w:rPr>
        <w:t>. Except as may otherwise be agreed by the Parties and except as otherwise contemplated by any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Agreement, in the case of a Mixed Contract, the Parties shall use commercially reasonable efforts to cause such Mixed Contract to be: (i) assigned in relevant part to AbbVie or an AbbVie Subsidiary (or to Abbott or an Abbott Subsidiary if the contracting party is a Transferred Entity) if so assignable;</w:t>
      </w:r>
    </w:p>
    <w:p>
      <w:pPr>
        <w:spacing w:after="0" w:line="1" w:lineRule="exact"/>
        <w:rPr>
          <w:rFonts w:ascii="Arial" w:cs="Arial" w:eastAsia="Arial" w:hAnsi="Arial"/>
          <w:sz w:val="16"/>
          <w:szCs w:val="16"/>
          <w:color w:val="auto"/>
        </w:rPr>
      </w:pPr>
    </w:p>
    <w:p>
      <w:pPr>
        <w:ind w:right="340" w:firstLine="5"/>
        <w:spacing w:after="0" w:line="275" w:lineRule="auto"/>
        <w:tabs>
          <w:tab w:leader="none" w:pos="257"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appropriately amended, prior to, on or after the Effective Time (or, in the case of a Mixed Contract that inures to the benefit or burden of both Abbott or an Abbott Subsidiary, on the one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 xml:space="preserve">hand, and a Transferred Entity that shall be transferred to AbbVie or an AbbVie Subsidiary after the Effective Time as part of a local closing of a Deferred AbbVie Local Business under the terms of the applicable International Transition Period Agreement, on the other hand, on or after such local closing); or (iii) replaced or otherwise addressed with suitable arrangements, in either case so that each Party or their respective Subsidiaries shall be entitled to the rights and benefits and shall assume the related portion of any obligations and Liabilities inuring to their respective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either Party or its respective Subsidiaries be required to assign or amend any Mixed Contract in its entirety or to assign a portion of any Mixed Contract that is not assignable or cannot be amended by its terms (including any terms imposing Consents or conditions on an assignment where such Consents or conditions have not been obtained or fulfilled). If any Mixed Contract cannot be so partially assigned, or cannot be amended, or if such assignment or amendment would impair the benefit the parties thereto derive from such Mixed Contract and such Mixed Contract is not replaced or otherwise addressed with suitable arrangements, Abbott and AbbVie shall, and shall cause each of their respective Subsidiaries to, take such other reasonable and permissible actions to cause: (A) the Assets associated with that portion of each Mixed Contract that relates to the AbbVie Business to be enjoyed by AbbVie or an AbbVie Subsidiary; (B) the Liabilities associated with that portion of each Mixed Contract that relates to the AbbVie Business to be borne by AbbVie or an AbbVie Subsidiary; (C) the Assets associated with that portion of each Mixed Contract that relates to the Abbott Business to be enjoyed by Abbott or an Abbott Subsidiary; and (D) the Liabilities associated with that portion of each Mixed Contract that relates to the Abbott Business to be borne by Abbott or an Abbott Subsidiary.</w:t>
      </w:r>
    </w:p>
    <w:p>
      <w:pPr>
        <w:spacing w:after="0" w:line="176" w:lineRule="exact"/>
        <w:rPr>
          <w:sz w:val="20"/>
          <w:szCs w:val="20"/>
          <w:color w:val="auto"/>
        </w:rPr>
      </w:pPr>
    </w:p>
    <w:p>
      <w:pPr>
        <w:ind w:right="40" w:firstLine="1263"/>
        <w:spacing w:after="0" w:line="262" w:lineRule="auto"/>
        <w:tabs>
          <w:tab w:leader="none" w:pos="189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Mixed Accounts</w:t>
      </w:r>
      <w:r>
        <w:rPr>
          <w:rFonts w:ascii="Arial" w:cs="Arial" w:eastAsia="Arial" w:hAnsi="Arial"/>
          <w:sz w:val="17"/>
          <w:szCs w:val="17"/>
          <w:color w:val="auto"/>
        </w:rPr>
        <w:t>. Except as may otherwise be agreed by the Parties and except as otherwise contemplated by any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Period Agreement, the Parties shall not seek to assign any Mixed Account. Except as may otherwise be agreed by the Parties and except as otherwise contemplated by any International Transition Period Agreement, Abbott and AbbVie shall, and shall cause each of their respective Subsidiaries to, take such other reasonable and permissible actions to cause (i) the Assets associated with that portion of each Mixed Account that relates to the Abbott Business to be enjoyed by Abbott or an Abbott Subsidiary; (ii) the Liabilities associated with that portion of each Mixed Account that relates to the Abbott Business to be borne by Abbott or an Abbott Subsidiary; (iii) the Assets associated with that portion of each Mixed Account that relates to the AbbVie Business to be enjoyed by AbbVie or an AbbVie Subsidiary; and (iv) the Liabilities associated with that portion of each Mixed Account that relates to the AbbVie Business to be borne by AbbVie or an AbbVie Subsidiary.</w:t>
      </w:r>
    </w:p>
    <w:p>
      <w:pPr>
        <w:spacing w:after="0" w:line="180" w:lineRule="exact"/>
        <w:rPr>
          <w:rFonts w:ascii="Arial" w:cs="Arial" w:eastAsia="Arial" w:hAnsi="Arial"/>
          <w:sz w:val="17"/>
          <w:szCs w:val="17"/>
          <w:color w:val="auto"/>
        </w:rPr>
      </w:pPr>
    </w:p>
    <w:p>
      <w:pPr>
        <w:jc w:val="both"/>
        <w:ind w:right="240" w:firstLine="1263"/>
        <w:spacing w:after="0" w:line="268" w:lineRule="auto"/>
        <w:tabs>
          <w:tab w:leader="none" w:pos="1898"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 Payments</w:t>
      </w:r>
      <w:r>
        <w:rPr>
          <w:rFonts w:ascii="Arial" w:cs="Arial" w:eastAsia="Arial" w:hAnsi="Arial"/>
          <w:sz w:val="17"/>
          <w:szCs w:val="17"/>
          <w:color w:val="auto"/>
        </w:rPr>
        <w: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require either Party or any of its Subsidiaries to make any payment (except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extent advanced, assumed or agreed in advance to be reimbursed by the other Party or any of the other Party’s Subsidiaries), incur any obligation or grant any concession for the benefit of the other Party or any of the other Party’s Subsidiaries, in each case, in order to effect any transaction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2.13.</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63" w:lineRule="auto"/>
        <w:tabs>
          <w:tab w:leader="none" w:pos="188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Additional Actions</w:t>
      </w:r>
      <w:r>
        <w:rPr>
          <w:rFonts w:ascii="Arial" w:cs="Arial" w:eastAsia="Arial" w:hAnsi="Arial"/>
          <w:sz w:val="17"/>
          <w:szCs w:val="17"/>
          <w:color w:val="auto"/>
        </w:rPr>
        <w:t>. Except as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in addition to the actions specifically provided for elsewhere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Agreement, each Party shall, and shall cause each of its respective Subsidiaries to, use commercially reasonable efforts, prior to and after the Effective Time to take, or cause to be taken, all actions, and to do, or cause to be done, all things, necessary or advisable under applicable Laws and agreements to consummate the transactions contemplated by this Agreement and the Ancillary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neither Abbott nor AbbVie (nor any of their respective Subsidiaries) shall be obligated under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to pay any consideration, grant any concession or incur any additional Liability to any Third Party other than ordinary and customary fees paid to a Governmental Authority.</w:t>
      </w:r>
    </w:p>
    <w:p>
      <w:pPr>
        <w:spacing w:after="0" w:line="183" w:lineRule="exact"/>
        <w:rPr>
          <w:rFonts w:ascii="Arial" w:cs="Arial" w:eastAsia="Arial" w:hAnsi="Arial"/>
          <w:sz w:val="17"/>
          <w:szCs w:val="17"/>
          <w:color w:val="auto"/>
        </w:rPr>
      </w:pPr>
    </w:p>
    <w:p>
      <w:pPr>
        <w:ind w:right="20" w:firstLine="1263"/>
        <w:spacing w:after="0" w:line="305" w:lineRule="auto"/>
        <w:tabs>
          <w:tab w:leader="none" w:pos="1895"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Cooperation</w:t>
      </w:r>
      <w:r>
        <w:rPr>
          <w:rFonts w:ascii="Arial" w:cs="Arial" w:eastAsia="Arial" w:hAnsi="Arial"/>
          <w:sz w:val="15"/>
          <w:szCs w:val="15"/>
          <w:color w:val="auto"/>
        </w:rPr>
        <w:t>. Without limiting the foregoing and except to the extent otherwise contemplated in connection with a Deferred AbbVie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Local Business under </w:t>
      </w:r>
      <w:r>
        <w:rPr>
          <w:rFonts w:ascii="Arial" w:cs="Arial" w:eastAsia="Arial" w:hAnsi="Arial"/>
          <w:sz w:val="15"/>
          <w:szCs w:val="15"/>
          <w:u w:val="single" w:color="auto"/>
          <w:color w:val="auto"/>
        </w:rPr>
        <w:t>Section 2.03</w:t>
      </w:r>
      <w:r>
        <w:rPr>
          <w:rFonts w:ascii="Arial" w:cs="Arial" w:eastAsia="Arial" w:hAnsi="Arial"/>
          <w:sz w:val="15"/>
          <w:szCs w:val="15"/>
          <w:color w:val="auto"/>
        </w:rPr>
        <w:t>, prior to and after the Effective Time, each Party shall, and shall cause each of its Subsidiaries to, cooperate with the other Party without any further consideration to execute and deliver, or use commercially reasonable efforts to cause to be executed and delivered, all Conveyance and Assumption Instruments and to make all filings with, and to obtain all Consents of, any Governmental Authority or any other Person under any permit, license, agreement, indenture or other instrument (including any Consents), and to take all such other actions as such Party may reasonably be requested to take by the other Party from time to time, consistent with the terms of this Agreement and the Ancillary Agreements, in order to effectuate the provisions and purposes of this</w:t>
      </w:r>
    </w:p>
    <w:p>
      <w:pPr>
        <w:sectPr>
          <w:pgSz w:w="11900" w:h="16838" w:orient="portrait"/>
          <w:cols w:equalWidth="0" w:num="1">
            <w:col w:w="11420"/>
          </w:cols>
          <w:pgMar w:left="240" w:top="127" w:right="239" w:bottom="0" w:gutter="0" w:footer="0" w:header="0"/>
        </w:sectPr>
      </w:pPr>
    </w:p>
    <w:bookmarkStart w:id="25" w:name="page26"/>
    <w:bookmarkEnd w:id="25"/>
    <w:p>
      <w:pPr>
        <w:spacing w:after="0" w:line="32" w:lineRule="exact"/>
        <w:rPr>
          <w:sz w:val="20"/>
          <w:szCs w:val="20"/>
          <w:color w:val="auto"/>
        </w:rPr>
      </w:pPr>
    </w:p>
    <w:p>
      <w:pPr>
        <w:ind w:right="620"/>
        <w:spacing w:after="0" w:line="322" w:lineRule="auto"/>
        <w:rPr>
          <w:sz w:val="20"/>
          <w:szCs w:val="20"/>
          <w:color w:val="auto"/>
        </w:rPr>
      </w:pPr>
      <w:r>
        <w:rPr>
          <w:rFonts w:ascii="Arial" w:cs="Arial" w:eastAsia="Arial" w:hAnsi="Arial"/>
          <w:sz w:val="16"/>
          <w:szCs w:val="16"/>
          <w:color w:val="auto"/>
        </w:rPr>
        <w:t>Agreement and the Ancillary Agreements and the transfers of the AbbVie Assets and the Abbott Assets and the assignment and assumption of the AbbVie Liabilities and the Abbott Liabilities as contemplated by this Agreement and the other transactions contemplated hereby and thereby.</w:t>
      </w:r>
    </w:p>
    <w:p>
      <w:pPr>
        <w:spacing w:after="0" w:line="136" w:lineRule="exact"/>
        <w:rPr>
          <w:sz w:val="20"/>
          <w:szCs w:val="20"/>
          <w:color w:val="auto"/>
        </w:rPr>
      </w:pPr>
    </w:p>
    <w:p>
      <w:pPr>
        <w:ind w:firstLine="1263"/>
        <w:spacing w:after="0" w:line="260" w:lineRule="auto"/>
        <w:tabs>
          <w:tab w:leader="none" w:pos="1898"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Misallocations</w:t>
      </w:r>
      <w:r>
        <w:rPr>
          <w:rFonts w:ascii="Arial" w:cs="Arial" w:eastAsia="Arial" w:hAnsi="Arial"/>
          <w:sz w:val="17"/>
          <w:szCs w:val="17"/>
          <w:color w:val="auto"/>
        </w:rPr>
        <w:t>. Except to the extent otherwise contemplated in connection with a Deferred AbbVie Local Business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2.03</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Delayed AbbVie Asset or Delayed AbbVie Liability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a Delayed Abbott Asset or Delayed Abbott Liability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in the event that, at any time or from time to time (whether prior to, at or after the Effective Time), one Party or any of its Subsidiaries shall receive or otherwise possess any Asset that is allocated to the other Party or any Subsidiary of such other Party pursuant to this Agreement or any Ancillary Agreement, the first Party shall promptly transfer, or cause its Subsidiary to transfer, such Asset to the Party so entitled thereto or such Party’s Subsidiary or designee and such Party or such Party’s Subsidiary or designee shall accept such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of this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are not intended to limit or otherwise modify in any way the Parties’ rights and obligations under this Agreement or the Tax Sharing Agreement. Except to the extent otherwise contemplated in connection with a Deferred AbbVie Local Business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 Delayed AbbVie Asset or Delayed AbbVie Liability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a Delayed Abbott Asset or Delayed Abbott Liability under </w:t>
      </w:r>
      <w:r>
        <w:rPr>
          <w:rFonts w:ascii="Arial" w:cs="Arial" w:eastAsia="Arial" w:hAnsi="Arial"/>
          <w:sz w:val="17"/>
          <w:szCs w:val="17"/>
          <w:u w:val="single" w:color="auto"/>
          <w:color w:val="auto"/>
        </w:rPr>
        <w:t>Section 2.05</w:t>
      </w:r>
      <w:r>
        <w:rPr>
          <w:rFonts w:ascii="Arial" w:cs="Arial" w:eastAsia="Arial" w:hAnsi="Arial"/>
          <w:sz w:val="17"/>
          <w:szCs w:val="17"/>
          <w:color w:val="auto"/>
        </w:rPr>
        <w:t>, in the event that, at any time or from time to time (whether prior to, at or after the Effective Time), one Party or any of its Subsidiaries shall receive or otherwise assume any Liability that is allocated to the other Party or any Subsidiary of such other Party pursuant to this Agreement or any Ancillary Agreement, the first Party shall promptly transfer, or cause its Subsidiary to transfer, such Liability to the Party so entitled thereto or such Party’s Subsidiary or designee, and such Party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322" w:lineRule="auto"/>
        <w:rPr>
          <w:sz w:val="20"/>
          <w:szCs w:val="20"/>
          <w:color w:val="auto"/>
        </w:rPr>
      </w:pPr>
      <w:r>
        <w:rPr>
          <w:rFonts w:ascii="Arial" w:cs="Arial" w:eastAsia="Arial" w:hAnsi="Arial"/>
          <w:sz w:val="16"/>
          <w:szCs w:val="16"/>
          <w:color w:val="auto"/>
        </w:rPr>
        <w:t xml:space="preserve">such Party’s Subsidiary or designee shall accept, assume and agree faithfully to perform such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this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are not intended to limit or otherwise modify in any way the Parties’ rights and obligations under this Agreement or the Tax Sharing Agreement.</w:t>
      </w:r>
    </w:p>
    <w:p>
      <w:pPr>
        <w:spacing w:after="0" w:line="136"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Prior to the Effective Time, the Parties shall establish a transition committee (the “</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xml:space="preserve">”) that shall consist of an equal number of members from Abbott and AbbVie. The Transition Committee shall be responsible for monitoring and managing all matters related to any of the transactions contemplated by this Agreement or any Ancillary Agreements. The Transition Committee shall have the authority to (a) establish one or more subcommittees from time to time as it deems appropriate or as may be described in any Ancillary Agreements, with each such subcommittee comprised of one or more members of the Transition Committee or one or more employees of either Party or any of its Subsidiaries, and each such subcommittee having such scope of responsibility as may be determined by the Transition Committee from time to time; (b) delegate to any such committee any of the powers of the Transition Committee; and (c) to combine, modify the scope of responsibility of, and disband any such subcommittees, and to modify or reverse any such delegations. The Transition Committee shall establish general procedures for managing the responsibilities delegated to it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may modify such procedures from time to time. All decisions by the Transition Committee or any subcommittee thereof shall be effective only if mutually agreed by both Parties. The Parties shall utilize the procedures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to resolve any matters as to which the Transition Committee is not able to reach a decision.</w:t>
      </w:r>
    </w:p>
    <w:p>
      <w:pPr>
        <w:spacing w:after="0" w:line="188"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Accounting for Deferred Taxes</w:t>
      </w:r>
      <w:r>
        <w:rPr>
          <w:rFonts w:ascii="Arial" w:cs="Arial" w:eastAsia="Arial" w:hAnsi="Arial"/>
          <w:sz w:val="16"/>
          <w:szCs w:val="16"/>
          <w:color w:val="auto"/>
        </w:rPr>
        <w:t>. No later than December [·], 2013, Abbott shall determine the difference, if any, between the Estimated Deferred Taxes and the Actual Deferred Taxes (the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and shall provide AbbVie with a schedule that sets forth the Adjustment and how it was calculated. AbbVie shall provide a Notice to Abbott of any disagreement with the Adjustment within twenty (20) days of receipt of the schedule setting forth the Adjustment and its calculation. AbbVie and Abbott shall use commercially reasonable efforts to resolve any disagreement by January [·], 2014 and, if the Parties are unable to agree prior to such date, the Parties shall utilize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(except those set forth in </w:t>
      </w:r>
      <w:r>
        <w:rPr>
          <w:rFonts w:ascii="Arial" w:cs="Arial" w:eastAsia="Arial" w:hAnsi="Arial"/>
          <w:sz w:val="16"/>
          <w:szCs w:val="16"/>
          <w:u w:val="single" w:color="auto"/>
          <w:color w:val="auto"/>
        </w:rPr>
        <w:t>Section 7.01(a)(i)</w:t>
      </w:r>
      <w:r>
        <w:rPr>
          <w:rFonts w:ascii="Arial" w:cs="Arial" w:eastAsia="Arial" w:hAnsi="Arial"/>
          <w:sz w:val="16"/>
          <w:szCs w:val="16"/>
          <w:color w:val="auto"/>
        </w:rPr>
        <w:t>) to resolve such disagreement (such Adjustment, as modified to reflect the disposition of any disagreement, the “</w:t>
      </w:r>
      <w:r>
        <w:rPr>
          <w:rFonts w:ascii="Arial" w:cs="Arial" w:eastAsia="Arial" w:hAnsi="Arial"/>
          <w:sz w:val="16"/>
          <w:szCs w:val="16"/>
          <w:u w:val="single" w:color="auto"/>
          <w:color w:val="auto"/>
        </w:rPr>
        <w:t>Final Adjustment</w:t>
      </w:r>
      <w:r>
        <w:rPr>
          <w:rFonts w:ascii="Arial" w:cs="Arial" w:eastAsia="Arial" w:hAnsi="Arial"/>
          <w:sz w:val="16"/>
          <w:szCs w:val="16"/>
          <w:color w:val="auto"/>
        </w:rPr>
        <w:t>”). Abbott and AbbVie shall, and shall cause their respective Subsidiaries to, reflect the Final Adjustment to shareholders’ equity on their respective books.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DISTRIBUTION</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Actions Prior to the Distribution</w:t>
      </w:r>
      <w:r>
        <w:rPr>
          <w:rFonts w:ascii="Arial" w:cs="Arial" w:eastAsia="Arial" w:hAnsi="Arial"/>
          <w:sz w:val="17"/>
          <w:szCs w:val="17"/>
          <w:color w:val="auto"/>
        </w:rPr>
        <w:t>. Prior to the Effective Time and subject to the terms and conditions set forth herein, the Parties shall take, or cause to be taken, the following actions in connection with the Distribution: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89" w:lineRule="auto"/>
        <w:tabs>
          <w:tab w:leader="none" w:pos="188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Notice to NYSE</w:t>
      </w:r>
      <w:r>
        <w:rPr>
          <w:rFonts w:ascii="Arial" w:cs="Arial" w:eastAsia="Arial" w:hAnsi="Arial"/>
          <w:sz w:val="17"/>
          <w:szCs w:val="17"/>
          <w:color w:val="auto"/>
        </w:rPr>
        <w:t>. Abbott shall, to the extent possible, give the NYSE not less than ten (10) days’ advance notice of the Record Date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Rule 10b-17 under the Exchange Act.</w:t>
      </w:r>
    </w:p>
    <w:p>
      <w:pPr>
        <w:spacing w:after="0" w:line="158" w:lineRule="exact"/>
        <w:rPr>
          <w:rFonts w:ascii="Arial" w:cs="Arial" w:eastAsia="Arial" w:hAnsi="Arial"/>
          <w:sz w:val="17"/>
          <w:szCs w:val="17"/>
          <w:color w:val="auto"/>
        </w:rPr>
      </w:pPr>
    </w:p>
    <w:p>
      <w:pPr>
        <w:ind w:firstLine="1263"/>
        <w:spacing w:after="0" w:line="262" w:lineRule="auto"/>
        <w:tabs>
          <w:tab w:leader="none" w:pos="189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Securities Law Matters</w:t>
      </w:r>
      <w:r>
        <w:rPr>
          <w:rFonts w:ascii="Arial" w:cs="Arial" w:eastAsia="Arial" w:hAnsi="Arial"/>
          <w:sz w:val="17"/>
          <w:szCs w:val="17"/>
          <w:color w:val="auto"/>
        </w:rPr>
        <w:t>. AbbVie shall file any amendments or supplements to the Registration Statement as may be necessary or</w:t>
      </w:r>
      <w:r>
        <w:rPr>
          <w:rFonts w:ascii="Arial" w:cs="Arial" w:eastAsia="Arial" w:hAnsi="Arial"/>
          <w:sz w:val="17"/>
          <w:szCs w:val="17"/>
          <w:i w:val="1"/>
          <w:iCs w:val="1"/>
          <w:color w:val="auto"/>
        </w:rPr>
        <w:t xml:space="preserve"> </w:t>
      </w:r>
      <w:r>
        <w:rPr>
          <w:rFonts w:ascii="Arial" w:cs="Arial" w:eastAsia="Arial" w:hAnsi="Arial"/>
          <w:sz w:val="17"/>
          <w:szCs w:val="17"/>
          <w:color w:val="auto"/>
        </w:rPr>
        <w:t>advisable in order to cause the Registration Statement to become and remain effective as required by the Commission or federal, state or other applicable securities Laws. Abbott and AbbVie shall cooperate in preparing, filing with the Commission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Abbott and AbbVie shall take all such action as may be necessary or advisable under the securities or blue sky Laws of the United States (and any comparable Laws under any non-U.S. jurisdiction) in connection with the transactions contemplated by this Agreement and the Ancillary Agreements.</w:t>
      </w:r>
    </w:p>
    <w:p>
      <w:pPr>
        <w:spacing w:after="0" w:line="184" w:lineRule="exact"/>
        <w:rPr>
          <w:rFonts w:ascii="Arial" w:cs="Arial" w:eastAsia="Arial" w:hAnsi="Arial"/>
          <w:sz w:val="17"/>
          <w:szCs w:val="17"/>
          <w:color w:val="auto"/>
        </w:rPr>
      </w:pPr>
    </w:p>
    <w:p>
      <w:pPr>
        <w:ind w:right="140" w:firstLine="1263"/>
        <w:spacing w:after="0" w:line="273" w:lineRule="auto"/>
        <w:tabs>
          <w:tab w:leader="none" w:pos="189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Mailing of Information Statement</w:t>
      </w:r>
      <w:r>
        <w:rPr>
          <w:rFonts w:ascii="Arial" w:cs="Arial" w:eastAsia="Arial" w:hAnsi="Arial"/>
          <w:sz w:val="17"/>
          <w:szCs w:val="17"/>
          <w:color w:val="auto"/>
        </w:rPr>
        <w:t>. Abbott shall, as soon as is reasonably practicable after the Registration Statement is declared</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under the Exchange Act and the board of directors of Abbott has approved the Distribution, cause the Information Statement to be mailed to the Record Holders.</w:t>
      </w:r>
    </w:p>
    <w:p>
      <w:pPr>
        <w:spacing w:after="0" w:line="171" w:lineRule="exact"/>
        <w:rPr>
          <w:rFonts w:ascii="Arial" w:cs="Arial" w:eastAsia="Arial" w:hAnsi="Arial"/>
          <w:sz w:val="17"/>
          <w:szCs w:val="17"/>
          <w:color w:val="auto"/>
        </w:rPr>
      </w:pPr>
    </w:p>
    <w:p>
      <w:pPr>
        <w:ind w:right="160" w:firstLine="1263"/>
        <w:spacing w:after="0" w:line="289" w:lineRule="auto"/>
        <w:tabs>
          <w:tab w:leader="none" w:pos="189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The Distribution Agent</w:t>
      </w:r>
      <w:r>
        <w:rPr>
          <w:rFonts w:ascii="Arial" w:cs="Arial" w:eastAsia="Arial" w:hAnsi="Arial"/>
          <w:sz w:val="17"/>
          <w:szCs w:val="17"/>
          <w:color w:val="auto"/>
        </w:rPr>
        <w:t>. Abbott shall enter into a distribution agent agreement with the Agent or otherwise provide instructions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regarding the Distribution.</w:t>
      </w:r>
    </w:p>
    <w:p>
      <w:pPr>
        <w:spacing w:after="0" w:line="158" w:lineRule="exact"/>
        <w:rPr>
          <w:rFonts w:ascii="Arial" w:cs="Arial" w:eastAsia="Arial" w:hAnsi="Arial"/>
          <w:sz w:val="17"/>
          <w:szCs w:val="17"/>
          <w:color w:val="auto"/>
        </w:rPr>
      </w:pPr>
    </w:p>
    <w:p>
      <w:pPr>
        <w:jc w:val="both"/>
        <w:ind w:right="140" w:firstLine="1263"/>
        <w:spacing w:after="0" w:line="273" w:lineRule="auto"/>
        <w:tabs>
          <w:tab w:leader="none" w:pos="189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Stock-Based Employee Benefit Plans</w:t>
      </w:r>
      <w:r>
        <w:rPr>
          <w:rFonts w:ascii="Arial" w:cs="Arial" w:eastAsia="Arial" w:hAnsi="Arial"/>
          <w:sz w:val="17"/>
          <w:szCs w:val="17"/>
          <w:color w:val="auto"/>
        </w:rPr>
        <w:t>. At or prior to the Effective Time, Abbott and AbbVie shall take all actions as may be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to approve the stock-based employee benefit plans of AbbVie in order to satisfy the requirements of Rule 16b-3 under the Exchange Act and the applicable rules and regulations of the NYSE.</w:t>
      </w:r>
    </w:p>
    <w:p>
      <w:pPr>
        <w:spacing w:after="0" w:line="171" w:lineRule="exact"/>
        <w:rPr>
          <w:rFonts w:ascii="Arial" w:cs="Arial" w:eastAsia="Arial" w:hAnsi="Arial"/>
          <w:sz w:val="17"/>
          <w:szCs w:val="17"/>
          <w:color w:val="auto"/>
        </w:rPr>
      </w:pPr>
    </w:p>
    <w:p>
      <w:pPr>
        <w:ind w:right="260" w:firstLine="1263"/>
        <w:spacing w:after="0" w:line="289" w:lineRule="auto"/>
        <w:tabs>
          <w:tab w:leader="none" w:pos="1892"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Satisfying Conditions to Distribution</w:t>
      </w:r>
      <w:r>
        <w:rPr>
          <w:rFonts w:ascii="Arial" w:cs="Arial" w:eastAsia="Arial" w:hAnsi="Arial"/>
          <w:sz w:val="17"/>
          <w:szCs w:val="17"/>
          <w:color w:val="auto"/>
        </w:rPr>
        <w:t>. Abbott and AbbVie shall cooperate to cause the conditions to the Distribution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to be satisfied and to effect the Distribution at the Effective Time.</w:t>
      </w:r>
    </w:p>
    <w:p>
      <w:pPr>
        <w:sectPr>
          <w:pgSz w:w="11900" w:h="16870" w:orient="portrait"/>
          <w:cols w:equalWidth="0" w:num="1">
            <w:col w:w="11400"/>
          </w:cols>
          <w:pgMar w:left="240" w:top="127" w:right="259" w:bottom="0" w:gutter="0" w:footer="0" w:header="0"/>
        </w:sectPr>
      </w:pPr>
    </w:p>
    <w:bookmarkStart w:id="26" w:name="page27"/>
    <w:bookmarkEnd w:id="26"/>
    <w:p>
      <w:pPr>
        <w:ind w:left="640"/>
        <w:spacing w:after="0"/>
        <w:tabs>
          <w:tab w:leader="none" w:pos="188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6"/>
          <w:szCs w:val="16"/>
          <w:u w:val="single" w:color="auto"/>
          <w:color w:val="auto"/>
        </w:rPr>
        <w:t>The Distribution</w:t>
      </w:r>
      <w:r>
        <w:rPr>
          <w:rFonts w:ascii="Arial" w:cs="Arial" w:eastAsia="Arial" w:hAnsi="Arial"/>
          <w:sz w:val="16"/>
          <w:szCs w:val="16"/>
          <w:color w:val="auto"/>
        </w:rPr>
        <w:t>. Subject to the terms and conditions contained herein:</w:t>
      </w:r>
    </w:p>
    <w:p>
      <w:pPr>
        <w:spacing w:after="0" w:line="224" w:lineRule="exact"/>
        <w:rPr>
          <w:sz w:val="20"/>
          <w:szCs w:val="20"/>
          <w:color w:val="auto"/>
        </w:rPr>
      </w:pPr>
    </w:p>
    <w:p>
      <w:pPr>
        <w:ind w:right="20" w:firstLine="1263"/>
        <w:spacing w:after="0" w:line="322" w:lineRule="auto"/>
        <w:tabs>
          <w:tab w:leader="none" w:pos="188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Delivery of AbbVie Common Stock</w:t>
      </w:r>
      <w:r>
        <w:rPr>
          <w:rFonts w:ascii="Arial" w:cs="Arial" w:eastAsia="Arial" w:hAnsi="Arial"/>
          <w:sz w:val="16"/>
          <w:szCs w:val="16"/>
          <w:color w:val="auto"/>
        </w:rPr>
        <w:t>. On or prior to the Distribution Date, Abbott shall deliver to the Agent, for the benefit of the Record</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book-entry transfer authorizations for such number of the outstanding shares of AbbVie Common Stock as is necessary to effect the Distribution.</w:t>
      </w:r>
    </w:p>
    <w:p>
      <w:pPr>
        <w:spacing w:after="0" w:line="135" w:lineRule="exact"/>
        <w:rPr>
          <w:rFonts w:ascii="Arial" w:cs="Arial" w:eastAsia="Arial" w:hAnsi="Arial"/>
          <w:sz w:val="16"/>
          <w:szCs w:val="16"/>
          <w:color w:val="auto"/>
        </w:rPr>
      </w:pPr>
    </w:p>
    <w:p>
      <w:pPr>
        <w:ind w:left="1900" w:hanging="637"/>
        <w:spacing w:after="0"/>
        <w:tabs>
          <w:tab w:leader="none" w:pos="1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Effective Time of Distribution</w:t>
      </w:r>
      <w:r>
        <w:rPr>
          <w:rFonts w:ascii="Arial" w:cs="Arial" w:eastAsia="Arial" w:hAnsi="Arial"/>
          <w:sz w:val="17"/>
          <w:szCs w:val="17"/>
          <w:color w:val="auto"/>
        </w:rPr>
        <w:t>. The Distribution shall be effective at the Effective Time.</w:t>
      </w:r>
    </w:p>
    <w:p>
      <w:pPr>
        <w:spacing w:after="0" w:line="224" w:lineRule="exact"/>
        <w:rPr>
          <w:rFonts w:ascii="Arial" w:cs="Arial" w:eastAsia="Arial" w:hAnsi="Arial"/>
          <w:sz w:val="17"/>
          <w:szCs w:val="17"/>
          <w:color w:val="auto"/>
        </w:rPr>
      </w:pPr>
    </w:p>
    <w:p>
      <w:pPr>
        <w:ind w:right="180" w:firstLine="1263"/>
        <w:spacing w:after="0" w:line="289" w:lineRule="auto"/>
        <w:tabs>
          <w:tab w:leader="none" w:pos="1898"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Distribution of Shares and Cash</w:t>
      </w:r>
      <w:r>
        <w:rPr>
          <w:rFonts w:ascii="Arial" w:cs="Arial" w:eastAsia="Arial" w:hAnsi="Arial"/>
          <w:sz w:val="17"/>
          <w:szCs w:val="17"/>
          <w:color w:val="auto"/>
        </w:rPr>
        <w:t>. Abbott shall instruct the Agent to distribute, as soon as practicable following the Effective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Record Holder the following: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540" w:hanging="647"/>
        <w:spacing w:after="0"/>
        <w:tabs>
          <w:tab w:leader="none" w:pos="2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of a share of AbbVie Common Stock for each Abbott Common Share held by such Record Holder as of the Record Date;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2" w:lineRule="exact"/>
        <w:rPr>
          <w:sz w:val="20"/>
          <w:szCs w:val="20"/>
          <w:color w:val="auto"/>
        </w:rPr>
      </w:pPr>
    </w:p>
    <w:p>
      <w:pPr>
        <w:ind w:left="2560" w:hanging="667"/>
        <w:spacing w:after="0"/>
        <w:tabs>
          <w:tab w:leader="none" w:pos="2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cash, if applicable, in lieu of fractional shares obtained in the manner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89" w:lineRule="auto"/>
        <w:tabs>
          <w:tab w:leader="none" w:pos="189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Transfer Authorizations</w:t>
      </w:r>
      <w:r>
        <w:rPr>
          <w:rFonts w:ascii="Arial" w:cs="Arial" w:eastAsia="Arial" w:hAnsi="Arial"/>
          <w:sz w:val="17"/>
          <w:szCs w:val="17"/>
          <w:color w:val="auto"/>
        </w:rPr>
        <w:t>. AbbVie agrees to provide all book-entry transfer authorizations for shares of AbbVie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Abbott or the Agent shall require (after giving effect to </w:t>
      </w:r>
      <w:r>
        <w:rPr>
          <w:rFonts w:ascii="Arial" w:cs="Arial" w:eastAsia="Arial" w:hAnsi="Arial"/>
          <w:sz w:val="17"/>
          <w:szCs w:val="17"/>
          <w:u w:val="single" w:color="auto"/>
          <w:color w:val="auto"/>
        </w:rPr>
        <w:t>Section 3.03</w:t>
      </w:r>
      <w:r>
        <w:rPr>
          <w:rFonts w:ascii="Arial" w:cs="Arial" w:eastAsia="Arial" w:hAnsi="Arial"/>
          <w:sz w:val="17"/>
          <w:szCs w:val="17"/>
          <w:color w:val="auto"/>
        </w:rPr>
        <w:t>) in order to effect the Distribution.</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3.03.</w:t>
      </w:r>
      <w:r>
        <w:rPr>
          <w:sz w:val="20"/>
          <w:szCs w:val="20"/>
          <w:color w:val="auto"/>
        </w:rPr>
        <w:tab/>
      </w:r>
      <w:r>
        <w:rPr>
          <w:rFonts w:ascii="Arial" w:cs="Arial" w:eastAsia="Arial" w:hAnsi="Arial"/>
          <w:sz w:val="15"/>
          <w:szCs w:val="15"/>
          <w:u w:val="single" w:color="auto"/>
          <w:color w:val="auto"/>
        </w:rPr>
        <w:t>Fractional Shares; Unclaimed Shares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7" w:lineRule="auto"/>
        <w:tabs>
          <w:tab w:leader="none" w:pos="188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No Fractional Shares</w:t>
      </w:r>
      <w:r>
        <w:rPr>
          <w:rFonts w:ascii="Arial" w:cs="Arial" w:eastAsia="Arial" w:hAnsi="Arial"/>
          <w:sz w:val="16"/>
          <w:szCs w:val="16"/>
          <w:color w:val="auto"/>
        </w:rPr>
        <w:t>. Notwithstanding anything herein to the contrary, no fractional shares of AbbVie Common Stock shall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the Distribution, and any such fractional share interests to which a Record Holder would otherwise be entitled shall not entitle such Record Holder to vote or to any other rights as a stockholder of AbbVie. In lieu of any such fractional shares, each Record Holder who, but for the provisions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would be entitled to receive a fractional share interest of AbbVie Common Stock pursuant to the Distribution, shall be paid cash, without any interest thereon, as hereinafter provided. Abbott shall instruct the Agent to determine the number of whole shares and fractional shares of AbbVie Common Stock allocable to each Record Holder, to aggregate all such fractional shares into whole shares, to sell the whole shares obtained thereby in the open market at the then-prevailing prices on behalf of each Record Holder who otherwise would be entitled to receive fractional share interests and to distribute to each such Record Holder his, her or its ratable share of the total proceeds of such sale, after making appropriate deductions of the amounts required for U.S. federal income tax withholding purposes and after deducting any applicable transfer Taxes and the costs and expenses of such sale and distribution, including brokers fees and commissions. The sales of fractional shares shall occur as soon after the Effective Time as practicable and as determined by the Agent. None of Abbott, AbbVie or the Agent shall guarantee any minimum sale price for the fractional shares of Abbott Common Shares. Neither Abbott nor AbbVie shall pay any interest on the proceeds from the sale of fractional shares. The Agent shall have the sole discretion to select the broker-dealers through which to sell the aggregated fractional shares and to determine when, how and at what price to sell such shares. Neither the Agent nor the broker-dealers through which the aggregated fractional shares are sold shall be Affiliates of Abbott or AbbVie.</w:t>
      </w:r>
    </w:p>
    <w:p>
      <w:pPr>
        <w:spacing w:after="0" w:line="173" w:lineRule="exact"/>
        <w:rPr>
          <w:rFonts w:ascii="Arial" w:cs="Arial" w:eastAsia="Arial" w:hAnsi="Arial"/>
          <w:sz w:val="16"/>
          <w:szCs w:val="16"/>
          <w:color w:val="auto"/>
        </w:rPr>
      </w:pPr>
    </w:p>
    <w:p>
      <w:pPr>
        <w:ind w:right="240" w:firstLine="1263"/>
        <w:spacing w:after="0" w:line="322" w:lineRule="auto"/>
        <w:tabs>
          <w:tab w:leader="none" w:pos="189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 Solely for purposes of computing fractional share interests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the beneficial owner of</w:t>
      </w:r>
      <w:r>
        <w:rPr>
          <w:rFonts w:ascii="Arial" w:cs="Arial" w:eastAsia="Arial" w:hAnsi="Arial"/>
          <w:sz w:val="16"/>
          <w:szCs w:val="16"/>
          <w:i w:val="1"/>
          <w:iCs w:val="1"/>
          <w:color w:val="auto"/>
        </w:rPr>
        <w:t xml:space="preserve"> </w:t>
      </w:r>
      <w:r>
        <w:rPr>
          <w:rFonts w:ascii="Arial" w:cs="Arial" w:eastAsia="Arial" w:hAnsi="Arial"/>
          <w:sz w:val="16"/>
          <w:szCs w:val="16"/>
          <w:color w:val="auto"/>
        </w:rPr>
        <w:t>Abbott Common Shares held of record in the name of a nominee in any nominee account shall be treated as the holder of record with respect to such shares.</w:t>
      </w:r>
    </w:p>
    <w:p>
      <w:pPr>
        <w:spacing w:after="0" w:line="135" w:lineRule="exact"/>
        <w:rPr>
          <w:rFonts w:ascii="Arial" w:cs="Arial" w:eastAsia="Arial" w:hAnsi="Arial"/>
          <w:sz w:val="16"/>
          <w:szCs w:val="16"/>
          <w:color w:val="auto"/>
        </w:rPr>
      </w:pPr>
    </w:p>
    <w:p>
      <w:pPr>
        <w:ind w:right="40" w:firstLine="1263"/>
        <w:spacing w:after="0" w:line="268" w:lineRule="auto"/>
        <w:tabs>
          <w:tab w:leader="none" w:pos="1898"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Unclaimed Stock or Cash</w:t>
      </w:r>
      <w:r>
        <w:rPr>
          <w:rFonts w:ascii="Arial" w:cs="Arial" w:eastAsia="Arial" w:hAnsi="Arial"/>
          <w:sz w:val="17"/>
          <w:szCs w:val="17"/>
          <w:color w:val="auto"/>
        </w:rPr>
        <w:t>. Any AbbVie Common Stock or cash in lieu of fractional shares with respect to AbbVie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remain unclaimed by any Record Holder one hundred and eighty (180) days after the Distribution Date shall be delivered to AbbVie, AbbVie shall hold such AbbVie Common Stock for the account of such Record Holder and the Parties agree that all obligations to provide such AbbVie Common Stock and cash, if any, in lieu of fractional share interests shall be obligations of AbbVie, subject in each case 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applicable escheat or other abandoned property Laws, and Abbott shall have no Liability with respect thereto.</w:t>
      </w:r>
    </w:p>
    <w:p>
      <w:pPr>
        <w:spacing w:after="0" w:line="224"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Sole Discretion of Abbott</w:t>
      </w:r>
      <w:r>
        <w:rPr>
          <w:rFonts w:ascii="Arial" w:cs="Arial" w:eastAsia="Arial" w:hAnsi="Arial"/>
          <w:sz w:val="16"/>
          <w:szCs w:val="16"/>
          <w:color w:val="auto"/>
        </w:rPr>
        <w:t>. Notwithstanding anything to the contrary set forth in this Agreement or in any Ancillary Agreement, until the Effective Time, Abbott shall have the sole discretion to determine whether to proceed with the Distribution and any and all terms of the Distribution, including the form, structure and terms of any transaction(s) or offering(s) to effect the Distribution and the timing of and conditions to the consummation of the Distribution. In addition, Abbott may, in its sole discretion, determine the Distribution Date and may, at any time and from time to time until the Effective Time, modify or change the terms of the Distribution, including by accelerating or delaying the timing of the consummation of the Distribution.</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3.05.</w:t>
      </w:r>
      <w:r>
        <w:rPr>
          <w:sz w:val="20"/>
          <w:szCs w:val="20"/>
          <w:color w:val="auto"/>
        </w:rPr>
        <w:tab/>
      </w:r>
      <w:r>
        <w:rPr>
          <w:rFonts w:ascii="Arial" w:cs="Arial" w:eastAsia="Arial" w:hAnsi="Arial"/>
          <w:sz w:val="16"/>
          <w:szCs w:val="16"/>
          <w:u w:val="single" w:color="auto"/>
          <w:color w:val="auto"/>
        </w:rPr>
        <w:t>Conditions to the Distribution</w:t>
      </w:r>
      <w:r>
        <w:rPr>
          <w:rFonts w:ascii="Arial" w:cs="Arial" w:eastAsia="Arial" w:hAnsi="Arial"/>
          <w:sz w:val="16"/>
          <w:szCs w:val="16"/>
          <w:color w:val="auto"/>
        </w:rPr>
        <w:t>.</w:t>
      </w:r>
    </w:p>
    <w:p>
      <w:pPr>
        <w:spacing w:after="0" w:line="224" w:lineRule="exact"/>
        <w:rPr>
          <w:sz w:val="20"/>
          <w:szCs w:val="20"/>
          <w:color w:val="auto"/>
        </w:rPr>
      </w:pPr>
    </w:p>
    <w:p>
      <w:pPr>
        <w:ind w:right="640" w:firstLine="1263"/>
        <w:spacing w:after="0" w:line="289" w:lineRule="auto"/>
        <w:tabs>
          <w:tab w:leader="none" w:pos="188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The Conditions</w:t>
      </w:r>
      <w:r>
        <w:rPr>
          <w:rFonts w:ascii="Arial" w:cs="Arial" w:eastAsia="Arial" w:hAnsi="Arial"/>
          <w:sz w:val="17"/>
          <w:szCs w:val="17"/>
          <w:color w:val="auto"/>
        </w:rPr>
        <w:t>. In addition to Abbott’s rights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the Distribution shall not occur unless each of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shall have been satisfied (or waived by Abbott, in whole or in part, in its sole discretion):</w:t>
      </w:r>
    </w:p>
    <w:p>
      <w:pPr>
        <w:spacing w:after="0" w:line="158" w:lineRule="exact"/>
        <w:rPr>
          <w:rFonts w:ascii="Arial" w:cs="Arial" w:eastAsia="Arial" w:hAnsi="Arial"/>
          <w:sz w:val="17"/>
          <w:szCs w:val="17"/>
          <w:color w:val="auto"/>
        </w:rPr>
      </w:pPr>
    </w:p>
    <w:p>
      <w:pPr>
        <w:ind w:right="40" w:firstLine="1893"/>
        <w:spacing w:after="0" w:line="322" w:lineRule="auto"/>
        <w:tabs>
          <w:tab w:leader="none" w:pos="2538"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transfer of the AbbVie Assets (other than any Delayed AbbVie Asset) and AbbVie Liabilities (other than any Delayed AbbVie Liability) contemplated to be transferred from Abbott to AbbVie on or prior to the Distribution Date shall have occurred as contemplated by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35" w:lineRule="exact"/>
        <w:rPr>
          <w:rFonts w:ascii="Arial" w:cs="Arial" w:eastAsia="Arial" w:hAnsi="Arial"/>
          <w:sz w:val="16"/>
          <w:szCs w:val="16"/>
          <w:color w:val="auto"/>
        </w:rPr>
      </w:pPr>
    </w:p>
    <w:p>
      <w:pPr>
        <w:ind w:right="60" w:firstLine="1893"/>
        <w:spacing w:after="0" w:line="273" w:lineRule="auto"/>
        <w:tabs>
          <w:tab w:leader="none" w:pos="2547"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Registration Statement shall have been declared effective by the Commission; no stop-order shall be in effect with respect thereto; no Proceeding for that purpose shall have been instituted or threatened by the Commission; and the Information Statement shall have been mailed to the Record Holders;</w:t>
      </w:r>
    </w:p>
    <w:p>
      <w:pPr>
        <w:spacing w:after="0" w:line="171" w:lineRule="exact"/>
        <w:rPr>
          <w:rFonts w:ascii="Arial" w:cs="Arial" w:eastAsia="Arial" w:hAnsi="Arial"/>
          <w:sz w:val="17"/>
          <w:szCs w:val="17"/>
          <w:color w:val="auto"/>
        </w:rPr>
      </w:pPr>
    </w:p>
    <w:p>
      <w:pPr>
        <w:jc w:val="both"/>
        <w:ind w:right="60" w:firstLine="1893"/>
        <w:spacing w:after="0" w:line="273" w:lineRule="auto"/>
        <w:tabs>
          <w:tab w:leader="none" w:pos="25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Abbott shall have received the proceeds from the AbbVie Cash Distribution and shall be satisfied in its sole discretion that, as of the Effective Time, it shall have no further Liability whatsoever under the AbbVie Credit Facility or the Financing Arrangements (including in connection with any guarantees provided by Abbott or an Abbott Subsidiary thereunder);</w:t>
      </w:r>
    </w:p>
    <w:p>
      <w:pPr>
        <w:spacing w:after="0" w:line="171" w:lineRule="exact"/>
        <w:rPr>
          <w:rFonts w:ascii="Arial" w:cs="Arial" w:eastAsia="Arial" w:hAnsi="Arial"/>
          <w:sz w:val="17"/>
          <w:szCs w:val="17"/>
          <w:color w:val="auto"/>
        </w:rPr>
      </w:pPr>
    </w:p>
    <w:p>
      <w:pPr>
        <w:ind w:right="160" w:firstLine="1893"/>
        <w:spacing w:after="0" w:line="322" w:lineRule="auto"/>
        <w:tabs>
          <w:tab w:leader="none" w:pos="2533"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actions and filings with regard to securities and blue sky Laws of the United States (and any comparable Laws under any foreign jurisdictions) described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have been taken and, where applicable, shall have become effective or been accepted;</w:t>
      </w:r>
    </w:p>
    <w:p>
      <w:pPr>
        <w:sectPr>
          <w:pgSz w:w="11900" w:h="16838" w:orient="portrait"/>
          <w:cols w:equalWidth="0" w:num="1">
            <w:col w:w="11400"/>
          </w:cols>
          <w:pgMar w:left="240" w:top="337" w:right="259" w:bottom="0" w:gutter="0" w:footer="0" w:header="0"/>
        </w:sectPr>
      </w:pPr>
    </w:p>
    <w:bookmarkStart w:id="27" w:name="page28"/>
    <w:bookmarkEnd w:id="27"/>
    <w:p>
      <w:pPr>
        <w:ind w:left="2520" w:hanging="627"/>
        <w:spacing w:after="0"/>
        <w:tabs>
          <w:tab w:leader="none" w:pos="2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AbbVie Common Stock to be distributed in the Distribution shall have been accepted for listing on the NYSE, subject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official notice of issuance;</w:t>
      </w:r>
    </w:p>
    <w:p>
      <w:pPr>
        <w:spacing w:after="0" w:line="212" w:lineRule="exact"/>
        <w:rPr>
          <w:sz w:val="20"/>
          <w:szCs w:val="20"/>
          <w:color w:val="auto"/>
        </w:rPr>
      </w:pPr>
    </w:p>
    <w:p>
      <w:pPr>
        <w:jc w:val="both"/>
        <w:ind w:right="380" w:firstLine="1893"/>
        <w:spacing w:after="0" w:line="273" w:lineRule="auto"/>
        <w:tabs>
          <w:tab w:leader="none" w:pos="2533"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Governmental Authority or other legal restraint or prohibition preventing the consummation of the Distribution or any of the other transactions related thereto, including the Separation, contemplated by this Agreement or any Ancillary Agreement shall be in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893"/>
        <w:spacing w:after="0" w:line="263" w:lineRule="auto"/>
        <w:tabs>
          <w:tab w:leader="none" w:pos="254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Abbott shall have received a private letter ruling from the United States Internal Revenue Service to the effect that, among other things, the Distribution shall qualify as a tax-free distribution for U.S. federal income tax purposes under Sections 355 and 368(a)(1)(D) of the Code and certain transactions related to the transfer to AbbVie or certain AbbVie Subsidiaries of certain AbbVie Assets and the assumption by AbbVie or certain AbbVie Subsidiaries of certain of the AbbVie Liabilities in connection with the Separation shall not result in the recognition of any gain or loss to Abbott, AbbVie, certain Abbott Subsidiaries, certain AbbVie Subsidiaries, Abbott’s shareholders or AbbVie’s stockholders for U.S. federal income tax purposes, and such private letter ruling shall not have been revoked or modified in any material respect;</w:t>
      </w:r>
    </w:p>
    <w:p>
      <w:pPr>
        <w:spacing w:after="0" w:line="183" w:lineRule="exact"/>
        <w:rPr>
          <w:rFonts w:ascii="Arial" w:cs="Arial" w:eastAsia="Arial" w:hAnsi="Arial"/>
          <w:sz w:val="17"/>
          <w:szCs w:val="17"/>
          <w:color w:val="auto"/>
        </w:rPr>
      </w:pPr>
    </w:p>
    <w:p>
      <w:pPr>
        <w:ind w:right="420" w:firstLine="1893"/>
        <w:spacing w:after="0" w:line="289" w:lineRule="auto"/>
        <w:tabs>
          <w:tab w:leader="none" w:pos="25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Abbott shall have received an opinion from its outside counsel to the effect that the Separation and the Distribution shall qualify as a transaction that is described in Sections 355(a) and 368(a)(1)(D) of the Code;</w:t>
      </w:r>
    </w:p>
    <w:p>
      <w:pPr>
        <w:spacing w:after="0" w:line="158" w:lineRule="exact"/>
        <w:rPr>
          <w:rFonts w:ascii="Arial" w:cs="Arial" w:eastAsia="Arial" w:hAnsi="Arial"/>
          <w:sz w:val="17"/>
          <w:szCs w:val="17"/>
          <w:color w:val="auto"/>
        </w:rPr>
      </w:pPr>
    </w:p>
    <w:p>
      <w:pPr>
        <w:ind w:right="240" w:firstLine="1893"/>
        <w:spacing w:after="0" w:line="360" w:lineRule="auto"/>
        <w:tabs>
          <w:tab w:leader="none" w:pos="2533"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 events or developments shall have occurred or exist that, in the judgment of the board of directors of Abbott, in its sole discretion, makes it inadvisable to effect the Separation, the Distribution or the other transactions contemplated by this Agreement or any Ancillary Agreement;</w:t>
      </w:r>
    </w:p>
    <w:p>
      <w:pPr>
        <w:spacing w:after="0" w:line="111" w:lineRule="exact"/>
        <w:rPr>
          <w:rFonts w:ascii="Arial" w:cs="Arial" w:eastAsia="Arial" w:hAnsi="Arial"/>
          <w:sz w:val="15"/>
          <w:szCs w:val="15"/>
          <w:color w:val="auto"/>
        </w:rPr>
      </w:pPr>
    </w:p>
    <w:p>
      <w:pPr>
        <w:ind w:right="200" w:firstLine="1893"/>
        <w:spacing w:after="0" w:line="322" w:lineRule="auto"/>
        <w:tabs>
          <w:tab w:leader="none" w:pos="25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Parties shall have executed and delivered or, where applicable, shall have caused their respective Subsidiaries to execute and deliver, the Ancillary Agreements that are contemplated by this Agreement to be executed and delivered on or prior to the Effective Time; and</w:t>
      </w:r>
    </w:p>
    <w:p>
      <w:pPr>
        <w:spacing w:after="0" w:line="135" w:lineRule="exact"/>
        <w:rPr>
          <w:rFonts w:ascii="Arial" w:cs="Arial" w:eastAsia="Arial" w:hAnsi="Arial"/>
          <w:sz w:val="16"/>
          <w:szCs w:val="16"/>
          <w:color w:val="auto"/>
        </w:rPr>
      </w:pPr>
    </w:p>
    <w:p>
      <w:pPr>
        <w:ind w:right="200" w:firstLine="1893"/>
        <w:spacing w:after="0" w:line="268" w:lineRule="auto"/>
        <w:tabs>
          <w:tab w:leader="none" w:pos="2533" w:val="left"/>
        </w:tabs>
        <w:numPr>
          <w:ilvl w:val="0"/>
          <w:numId w:val="55"/>
        </w:numPr>
        <w:rPr>
          <w:rFonts w:ascii="Arial" w:cs="Arial" w:eastAsia="Arial" w:hAnsi="Arial"/>
          <w:sz w:val="17"/>
          <w:szCs w:val="17"/>
          <w:color w:val="auto"/>
        </w:rPr>
      </w:pPr>
      <w:r>
        <w:rPr>
          <w:rFonts w:ascii="Arial" w:cs="Arial" w:eastAsia="Arial" w:hAnsi="Arial"/>
          <w:sz w:val="17"/>
          <w:szCs w:val="17"/>
          <w:color w:val="auto"/>
        </w:rPr>
        <w:t>[·], or another independent appraisal firm acceptable to Abbott, shall have delivered one or more opinions to the board of directors of Abbott confirming the solvency and financial viability of Abbott before the consummation of the Distribution and each of Abbott and AbbVie after consummation of the Distribution, and such opinions shall be acceptable to Abbott in form and substance in Abbott’s sole discretion and such opinions shall not have been withdrawn or rescinded.</w:t>
      </w:r>
    </w:p>
    <w:p>
      <w:pPr>
        <w:spacing w:after="0" w:line="176" w:lineRule="exact"/>
        <w:rPr>
          <w:sz w:val="20"/>
          <w:szCs w:val="20"/>
          <w:color w:val="auto"/>
        </w:rPr>
      </w:pPr>
    </w:p>
    <w:p>
      <w:pPr>
        <w:ind w:firstLine="1263"/>
        <w:spacing w:after="0" w:line="263" w:lineRule="auto"/>
        <w:tabs>
          <w:tab w:leader="none" w:pos="189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Conditions for Benefit of Abbott</w:t>
      </w:r>
      <w:r>
        <w:rPr>
          <w:rFonts w:ascii="Arial" w:cs="Arial" w:eastAsia="Arial" w:hAnsi="Arial"/>
          <w:sz w:val="17"/>
          <w:szCs w:val="17"/>
          <w:color w:val="auto"/>
        </w:rPr>
        <w:t xml:space="preserve">. The foregoing conditions are for the sole benefit of Abbott and not for the benefit of any other Person and shall not give rise to nor create any duty on the part of Abbott or Abbott’s board of directors to waive or not waive any such condition or in any way limit Abbott’s right to terminate this Agreement as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alter the consequences of any such termination from those specified in such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Any determination made by Abbott prior to the Distribution concerning the satisfaction or waiver of any or all of the conditions set forth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conclusive and binding on the Parties hereto. If Abbott waives any material condition, it shall promptly issue a press release disclosing such fact and file a report on Form 8-K with the Commission describing such waiver.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MUTUAL RELEASES; INDEMNIFICATION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4.01.</w:t>
      </w:r>
      <w:r>
        <w:rPr>
          <w:sz w:val="20"/>
          <w:szCs w:val="20"/>
          <w:color w:val="auto"/>
        </w:rPr>
        <w:tab/>
      </w:r>
      <w:r>
        <w:rPr>
          <w:rFonts w:ascii="Arial" w:cs="Arial" w:eastAsia="Arial" w:hAnsi="Arial"/>
          <w:sz w:val="14"/>
          <w:szCs w:val="14"/>
          <w:u w:val="single" w:color="auto"/>
          <w:color w:val="auto"/>
        </w:rPr>
        <w:t>Releases</w:t>
      </w:r>
      <w:r>
        <w:rPr>
          <w:rFonts w:ascii="Arial" w:cs="Arial" w:eastAsia="Arial" w:hAnsi="Arial"/>
          <w:sz w:val="14"/>
          <w:szCs w:val="14"/>
          <w:color w:val="auto"/>
        </w:rPr>
        <w:t>.</w:t>
      </w:r>
    </w:p>
    <w:p>
      <w:pPr>
        <w:spacing w:after="0" w:line="224" w:lineRule="exact"/>
        <w:rPr>
          <w:sz w:val="20"/>
          <w:szCs w:val="20"/>
          <w:color w:val="auto"/>
        </w:rPr>
      </w:pPr>
    </w:p>
    <w:p>
      <w:pPr>
        <w:ind w:firstLine="1263"/>
        <w:spacing w:after="0" w:line="262" w:lineRule="auto"/>
        <w:tabs>
          <w:tab w:leader="none" w:pos="188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AbbVie Release of Abbott</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4.01(c)</w:t>
      </w:r>
      <w:r>
        <w:rPr>
          <w:rFonts w:ascii="Arial" w:cs="Arial" w:eastAsia="Arial" w:hAnsi="Arial"/>
          <w:sz w:val="17"/>
          <w:szCs w:val="17"/>
          <w:i w:val="1"/>
          <w:iCs w:val="1"/>
          <w:color w:val="auto"/>
        </w:rPr>
        <w:t xml:space="preserve"> </w:t>
      </w:r>
      <w:r>
        <w:rPr>
          <w:rFonts w:ascii="Arial" w:cs="Arial" w:eastAsia="Arial" w:hAnsi="Arial"/>
          <w:sz w:val="17"/>
          <w:szCs w:val="17"/>
          <w:color w:val="auto"/>
        </w:rPr>
        <w:t>and in the provisos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4.01(a)</w:t>
      </w:r>
      <w:r>
        <w:rPr>
          <w:rFonts w:ascii="Arial" w:cs="Arial" w:eastAsia="Arial" w:hAnsi="Arial"/>
          <w:sz w:val="17"/>
          <w:szCs w:val="17"/>
          <w:color w:val="auto"/>
        </w:rPr>
        <w:t>, effective as of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AbbVie does hereby, for itself, each of the AbbVie Subsidiaries, and their respective successors and assigns, and, to the extent permitted by Law, all Persons who at any time prior to the Effective Time have been directors, officers, agents or employees of AbbVie or any of the AbbVie Subsidiaries (in each case, in their respective capacities as such), remise, release and forever discharge: (1) Abbott, each Abbott Subsidiary, and their respective successors and assigns; (2) all Persons who at any time are or have been shareholders, directors, officers, agents or employees of Abbott or an Abbott Subsidiary (in each case, in their respective capacities as such), and their respective heirs, executors, administrators, successors and assigns; and (3) all Persons identified on </w:t>
      </w:r>
      <w:r>
        <w:rPr>
          <w:rFonts w:ascii="Arial" w:cs="Arial" w:eastAsia="Arial" w:hAnsi="Arial"/>
          <w:sz w:val="17"/>
          <w:szCs w:val="17"/>
          <w:u w:val="single" w:color="auto"/>
          <w:color w:val="auto"/>
        </w:rPr>
        <w:t>Schedule 4.01(a)</w:t>
      </w:r>
      <w:r>
        <w:rPr>
          <w:rFonts w:ascii="Arial" w:cs="Arial" w:eastAsia="Arial" w:hAnsi="Arial"/>
          <w:sz w:val="17"/>
          <w:szCs w:val="17"/>
          <w:color w:val="auto"/>
        </w:rPr>
        <w:t>, in each such case from:</w:t>
      </w:r>
    </w:p>
    <w:p>
      <w:pPr>
        <w:spacing w:after="0" w:line="184" w:lineRule="exact"/>
        <w:rPr>
          <w:rFonts w:ascii="Arial" w:cs="Arial" w:eastAsia="Arial" w:hAnsi="Arial"/>
          <w:sz w:val="17"/>
          <w:szCs w:val="17"/>
          <w:color w:val="auto"/>
        </w:rPr>
      </w:pPr>
    </w:p>
    <w:p>
      <w:pPr>
        <w:ind w:left="2540" w:hanging="647"/>
        <w:spacing w:after="0"/>
        <w:tabs>
          <w:tab w:leader="none" w:pos="25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AbbVie Liabilities; and</w:t>
      </w:r>
    </w:p>
    <w:p>
      <w:pPr>
        <w:spacing w:after="0" w:line="224" w:lineRule="exact"/>
        <w:rPr>
          <w:rFonts w:ascii="Arial" w:cs="Arial" w:eastAsia="Arial" w:hAnsi="Arial"/>
          <w:sz w:val="17"/>
          <w:szCs w:val="17"/>
          <w:color w:val="auto"/>
        </w:rPr>
      </w:pPr>
    </w:p>
    <w:p>
      <w:pPr>
        <w:ind w:right="180" w:firstLine="1893"/>
        <w:spacing w:after="0" w:line="268" w:lineRule="auto"/>
        <w:tabs>
          <w:tab w:leader="none" w:pos="254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Liabilities existing or arising: (A) in connection with the implementation of the Separation and the Distribution; or (B)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AbbVie Business, the AbbVie Assets or the AbbVie Liabilities;</w:t>
      </w:r>
    </w:p>
    <w:p>
      <w:pPr>
        <w:spacing w:after="0" w:line="17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shall release the Persons released in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from: (x) any Liability expressly allocated to Abbott or an Abbott Subsidiary in this Agreement (including the indemnification obligations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the contribution obligations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any Ancillary Agreement or any other agreement, arrangement, commitment or understanding to the extent expressly preserved pursuant to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(y) any intercompany receivables or payables that are not settled, capitalized, cancelled, assigned or assumed by AbbVie or one or more AbbVie Subsidiaries prior to the Effective Time; or (z) any Liability the release of which would result in the release of any Person other than the Persons released in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shall relieve any Person released in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who, after the Effective Time, is a director, officer or employee of AbbVie or an AbbVie Subsidiary and is no longer a director, officer or employee of Abbott or an Abbott Subsidiary from Liabilities arising out of, relating to or resulting from his or her service as a director, officer or employee of AbbVie or any of the AbbVie Subsidiaries after the Effective Time.</w:t>
      </w:r>
    </w:p>
    <w:p>
      <w:pPr>
        <w:spacing w:after="0" w:line="171" w:lineRule="exact"/>
        <w:rPr>
          <w:sz w:val="20"/>
          <w:szCs w:val="20"/>
          <w:color w:val="auto"/>
        </w:rPr>
      </w:pPr>
    </w:p>
    <w:p>
      <w:pPr>
        <w:ind w:right="60" w:firstLine="1263"/>
        <w:spacing w:after="0" w:line="273" w:lineRule="auto"/>
        <w:tabs>
          <w:tab w:leader="none" w:pos="189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Abbott Release of AbbVie</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4.01(c)</w:t>
      </w:r>
      <w:r>
        <w:rPr>
          <w:rFonts w:ascii="Arial" w:cs="Arial" w:eastAsia="Arial" w:hAnsi="Arial"/>
          <w:sz w:val="17"/>
          <w:szCs w:val="17"/>
          <w:i w:val="1"/>
          <w:iCs w:val="1"/>
          <w:color w:val="auto"/>
        </w:rPr>
        <w:t xml:space="preserve"> </w:t>
      </w:r>
      <w:r>
        <w:rPr>
          <w:rFonts w:ascii="Arial" w:cs="Arial" w:eastAsia="Arial" w:hAnsi="Arial"/>
          <w:sz w:val="17"/>
          <w:szCs w:val="17"/>
          <w:color w:val="auto"/>
        </w:rPr>
        <w:t>and in the proviso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4.01(b)</w:t>
      </w:r>
      <w:r>
        <w:rPr>
          <w:rFonts w:ascii="Arial" w:cs="Arial" w:eastAsia="Arial" w:hAnsi="Arial"/>
          <w:sz w:val="17"/>
          <w:szCs w:val="17"/>
          <w:color w:val="auto"/>
        </w:rPr>
        <w:t>, effective as of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Time, Abbott does hereby, for itself, each of the Abbott Subsidiaries, and their respective successors and assigns, and, to the extent permitted by Law, all Persons who at any time prior to the Effective Time have been</w:t>
      </w:r>
    </w:p>
    <w:p>
      <w:pPr>
        <w:sectPr>
          <w:pgSz w:w="11900" w:h="16838" w:orient="portrait"/>
          <w:cols w:equalWidth="0" w:num="1">
            <w:col w:w="11400"/>
          </w:cols>
          <w:pgMar w:left="240" w:top="127" w:right="25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7" w:right="259" w:bottom="0" w:gutter="0" w:footer="0" w:header="0"/>
          <w:type w:val="continuous"/>
        </w:sectPr>
      </w:pPr>
    </w:p>
    <w:bookmarkStart w:id="28" w:name="page29"/>
    <w:bookmarkEnd w:id="28"/>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spacing w:after="0" w:line="289" w:lineRule="auto"/>
        <w:rPr>
          <w:sz w:val="20"/>
          <w:szCs w:val="20"/>
          <w:color w:val="auto"/>
        </w:rPr>
      </w:pPr>
      <w:r>
        <w:rPr>
          <w:rFonts w:ascii="Arial" w:cs="Arial" w:eastAsia="Arial" w:hAnsi="Arial"/>
          <w:sz w:val="17"/>
          <w:szCs w:val="17"/>
          <w:color w:val="auto"/>
        </w:rPr>
        <w:t>directors, officers, agents or employees of Abbott or any of the Abbott Subsidiaries (in each case, in their respective capacities as such), remise, release and forever discharge AbbVie, each AbbVie Subsidiary and their respective successors and assigns from:</w:t>
      </w:r>
    </w:p>
    <w:p>
      <w:pPr>
        <w:spacing w:after="0" w:line="158" w:lineRule="exact"/>
        <w:rPr>
          <w:sz w:val="20"/>
          <w:szCs w:val="20"/>
          <w:color w:val="auto"/>
        </w:rPr>
      </w:pPr>
    </w:p>
    <w:p>
      <w:pPr>
        <w:ind w:left="2540" w:hanging="647"/>
        <w:spacing w:after="0"/>
        <w:tabs>
          <w:tab w:leader="none" w:pos="2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Abbott Liabilities; and</w:t>
      </w:r>
    </w:p>
    <w:p>
      <w:pPr>
        <w:spacing w:after="0" w:line="224" w:lineRule="exact"/>
        <w:rPr>
          <w:rFonts w:ascii="Arial" w:cs="Arial" w:eastAsia="Arial" w:hAnsi="Arial"/>
          <w:sz w:val="17"/>
          <w:szCs w:val="17"/>
          <w:color w:val="auto"/>
        </w:rPr>
      </w:pPr>
    </w:p>
    <w:p>
      <w:pPr>
        <w:ind w:right="200" w:firstLine="1893"/>
        <w:spacing w:after="0" w:line="268" w:lineRule="auto"/>
        <w:tabs>
          <w:tab w:leader="none" w:pos="2547"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Liabilities existing or arising: (A) in connection with the implementation of the Separation and the Distribution; or (B)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Abbott Business, the Abbott Assets or the Abbott Liabilities;</w:t>
      </w:r>
    </w:p>
    <w:p>
      <w:pPr>
        <w:spacing w:after="0" w:line="17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shall release the Persons released in this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from: (x) any Liability expressly allocated to AbbVie or an AbbVie Subsidiary in this Agreement (including the indemnification obligations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the contribution obligations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any Ancillary Agreement or any other agreement, arrangement, commitment or understanding to the extent expressly preserved pursuant to </w:t>
      </w:r>
      <w:r>
        <w:rPr>
          <w:rFonts w:ascii="Arial" w:cs="Arial" w:eastAsia="Arial" w:hAnsi="Arial"/>
          <w:sz w:val="16"/>
          <w:szCs w:val="16"/>
          <w:u w:val="single" w:color="auto"/>
          <w:color w:val="auto"/>
        </w:rPr>
        <w:t>Section 2.09(b)</w:t>
      </w:r>
      <w:r>
        <w:rPr>
          <w:rFonts w:ascii="Arial" w:cs="Arial" w:eastAsia="Arial" w:hAnsi="Arial"/>
          <w:sz w:val="16"/>
          <w:szCs w:val="16"/>
          <w:color w:val="auto"/>
        </w:rPr>
        <w:t>; (y) any intercompany receivables or payables that are not settled, capitalized, cancelled, assigned or assumed by AbbVie or one or more AbbVie Subsidiaries prior to the Effective Time</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(z) any Liability the release of which would result in the release of any Person other than the Persons released in this </w:t>
      </w:r>
      <w:r>
        <w:rPr>
          <w:rFonts w:ascii="Arial" w:cs="Arial" w:eastAsia="Arial" w:hAnsi="Arial"/>
          <w:sz w:val="16"/>
          <w:szCs w:val="16"/>
          <w:u w:val="single" w:color="auto"/>
          <w:color w:val="auto"/>
        </w:rPr>
        <w:t>Section 4.01(b)</w:t>
      </w:r>
      <w:r>
        <w:rPr>
          <w:rFonts w:ascii="Arial" w:cs="Arial" w:eastAsia="Arial" w:hAnsi="Arial"/>
          <w:sz w:val="16"/>
          <w:szCs w:val="16"/>
          <w:color w:val="auto"/>
        </w:rPr>
        <w:t>.</w:t>
      </w:r>
    </w:p>
    <w:p>
      <w:pPr>
        <w:spacing w:after="0" w:line="166" w:lineRule="exact"/>
        <w:rPr>
          <w:sz w:val="20"/>
          <w:szCs w:val="20"/>
          <w:color w:val="auto"/>
        </w:rPr>
      </w:pPr>
    </w:p>
    <w:p>
      <w:pPr>
        <w:ind w:right="60" w:firstLine="1263"/>
        <w:spacing w:after="0" w:line="275" w:lineRule="auto"/>
        <w:tabs>
          <w:tab w:leader="none" w:pos="1898"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Abbott Obligations Not Affected</w:t>
      </w:r>
      <w:r>
        <w:rPr>
          <w:rFonts w:ascii="Arial" w:cs="Arial" w:eastAsia="Arial" w:hAnsi="Arial"/>
          <w:sz w:val="16"/>
          <w:szCs w:val="16"/>
          <w:color w:val="auto"/>
        </w:rPr>
        <w:t>. Nothing contained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IV</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release Abbott or an Abbott Subsidiary from honoring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existing immediately prior to the Effective Time to (i) indemnify any director, officer or employee of AbbVie or an AbbVie Subsidiary who was a director, officer or employee of Abbott or an Abbott Subsidiary on or prior to the Effective Time, to the extent such director, officer or employee was entitled in such capacity to such indemnification pursuant to obligations existing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director of AbbVie receives indemnification payments from Abbott or AbbVie, as the case may be, with respect to a particular Liability for which such director is entitled to indemnification, such director shall not be entitled to receive indemnification payments from the other Party with respect to the same Liability to the extent of the indemnification payments previously received by such director from Abbott or AbbVie,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to the extent the events underlying an indemnification claim would give rise to an Abbott Liability, then Abbott shall have primary responsibility for the administration of the indemnification claim and</w:t>
      </w:r>
    </w:p>
    <w:p>
      <w:pPr>
        <w:spacing w:after="0" w:line="3" w:lineRule="exact"/>
        <w:rPr>
          <w:rFonts w:ascii="Arial" w:cs="Arial" w:eastAsia="Arial" w:hAnsi="Arial"/>
          <w:sz w:val="16"/>
          <w:szCs w:val="16"/>
          <w:color w:val="auto"/>
        </w:rPr>
      </w:pPr>
    </w:p>
    <w:p>
      <w:pPr>
        <w:ind w:right="20" w:firstLine="5"/>
        <w:spacing w:after="0" w:line="261" w:lineRule="auto"/>
        <w:tabs>
          <w:tab w:leader="none" w:pos="27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the extent that the events underlying an indemnification claim would give rise to an AbbVie Liability, then AbbVie shall have primary responsibility for the administration of the indemnification claim; or (ii) provide any employment, post-employment or retirement benefits to any director, officer or employee of AbbVie or an AbbVie Subsidiary who was a director, officer or employee of Abbott or an Abbott Subsidiary on or prior to the Effective Time, to the extent such director, officer or employee was entitled to such benefits pursuant to obligations existing immediately prior to the Effective Time, except as otherwise provided in the Employee Matters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63"/>
        <w:spacing w:after="0" w:line="268" w:lineRule="auto"/>
        <w:tabs>
          <w:tab w:leader="none" w:pos="189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 AbbVie Claims</w:t>
      </w:r>
      <w:r>
        <w:rPr>
          <w:rFonts w:ascii="Arial" w:cs="Arial" w:eastAsia="Arial" w:hAnsi="Arial"/>
          <w:sz w:val="17"/>
          <w:szCs w:val="17"/>
          <w:color w:val="auto"/>
        </w:rPr>
        <w:t>. Without limiting the rights of either Party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4.05</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4.06</w:t>
      </w:r>
      <w:r>
        <w:rPr>
          <w:rFonts w:ascii="Arial" w:cs="Arial" w:eastAsia="Arial" w:hAnsi="Arial"/>
          <w:sz w:val="17"/>
          <w:szCs w:val="17"/>
          <w:color w:val="auto"/>
        </w:rPr>
        <w:t>, AbbVie shall not make, and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permit an AbbVie Subsidiary to make, any claim or demand, or commence any Proceeding asserting any claim or demand, including any claim of contribution or indemnification, against Abbott or an Abbott Subsidiary or any other Person released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right="180" w:firstLine="1263"/>
        <w:spacing w:after="0" w:line="268" w:lineRule="auto"/>
        <w:tabs>
          <w:tab w:leader="none" w:pos="1898"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 Abbott Claims</w:t>
      </w:r>
      <w:r>
        <w:rPr>
          <w:rFonts w:ascii="Arial" w:cs="Arial" w:eastAsia="Arial" w:hAnsi="Arial"/>
          <w:sz w:val="17"/>
          <w:szCs w:val="17"/>
          <w:color w:val="auto"/>
        </w:rPr>
        <w:t>. Without limiting the rights of either Party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4.05</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4.06</w:t>
      </w:r>
      <w:r>
        <w:rPr>
          <w:rFonts w:ascii="Arial" w:cs="Arial" w:eastAsia="Arial" w:hAnsi="Arial"/>
          <w:sz w:val="17"/>
          <w:szCs w:val="17"/>
          <w:color w:val="auto"/>
        </w:rPr>
        <w:t>, Abbott shall not make, and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permit an Abbott Subsidiary to make, any claim or demand, or commence any Proceeding asserting any claim or demand, including any claim of contribution or indemnification, against AbbVie or an AbbVie Subsidiary or any other Person released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right="20" w:firstLine="1263"/>
        <w:spacing w:after="0" w:line="289" w:lineRule="auto"/>
        <w:tabs>
          <w:tab w:leader="none" w:pos="1892"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Subsidiary Releases</w:t>
      </w:r>
      <w:r>
        <w:rPr>
          <w:rFonts w:ascii="Arial" w:cs="Arial" w:eastAsia="Arial" w:hAnsi="Arial"/>
          <w:sz w:val="17"/>
          <w:szCs w:val="17"/>
          <w:color w:val="auto"/>
        </w:rPr>
        <w:t>. At any time at or after the Effective Time, at the request of either Party, the other Party shall cause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execute and deliver releases reflecting the provisions of this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158"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Indemnification by AbbVie</w:t>
      </w:r>
      <w:r>
        <w:rPr>
          <w:rFonts w:ascii="Arial" w:cs="Arial" w:eastAsia="Arial" w:hAnsi="Arial"/>
          <w:sz w:val="17"/>
          <w:szCs w:val="17"/>
          <w:color w:val="auto"/>
        </w:rPr>
        <w:t xml:space="preserve">. Except as otherwise specifically set forth in any provision of this Agreement or of any Ancillary Agreement, AbbVie and each of the AbbVie Subsidiaries shall, to the fullest extent permitted by Law, indemnify, defend and hold harmless each of the Abbott Indemnitees from and against all AbbVie Indemnity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for AbbVie Liabilities shall not extend to a former director, officer, employee or agent of AbbVie or an AbbVie Subsidiary to the extent such Person would not be eligible for indemnification under the terms of (i) Abbott’s certificate of incorporation or bylaws in connection with the matter for which indemnification is sought due to action or inaction by such Person in connection with such matter; or (ii) the directors’ and officers’ insurance policy of Abbott would not cover such Person in connection with the matter for which indemnification is sought due to action or inaction by such Person in connection with such matter.</w:t>
      </w:r>
    </w:p>
    <w:p>
      <w:pPr>
        <w:spacing w:after="0" w:line="18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Indemnification by Abbott</w:t>
      </w:r>
      <w:r>
        <w:rPr>
          <w:rFonts w:ascii="Arial" w:cs="Arial" w:eastAsia="Arial" w:hAnsi="Arial"/>
          <w:sz w:val="17"/>
          <w:szCs w:val="17"/>
          <w:color w:val="auto"/>
        </w:rPr>
        <w:t xml:space="preserve">. Except as otherwise specifically set forth in any provision of this Agreement or of any Ancillary Agreement, Abbott and each of the Abbott Subsidiaries shall, to the fullest extent permitted by Law, indemnify, defend and hold harmless each of the AbbVie Indemnitees from and against all Abbott Indemnity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in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for Abbott Liabilities shall not extend to a former director, officer, employee or agent of Abbott or an Abbott Subsidiary to the extent (a) such Person would not be eligible for indemnification under the terms of (i) AbbVie’s certificate of incorporation or bylaws in connection with the matter for which indemnification is sought due to action or inaction by such Person in connection with such matter or (ii) the directors’ and officers’ insurance policy of AbbVie would not cover such Person in connection with the matter for which indemnification is sought due to action or inaction by such Person in connection with such matter.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u w:val="single" w:color="auto"/>
          <w:color w:val="auto"/>
        </w:rPr>
        <w:t>Indemnification Obligations Net of Insurance Proceeds and Other Amounts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7" w:lineRule="auto"/>
        <w:tabs>
          <w:tab w:leader="none" w:pos="188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Insurance Proceeds and Other Amounts</w:t>
      </w:r>
      <w:r>
        <w:rPr>
          <w:rFonts w:ascii="Arial" w:cs="Arial" w:eastAsia="Arial" w:hAnsi="Arial"/>
          <w:sz w:val="16"/>
          <w:szCs w:val="16"/>
          <w:color w:val="auto"/>
        </w:rPr>
        <w:t>. The Parties intend that any Liability subject to indemnification or contribution pursuant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any Ancillary Agreement: (i) shall be reduced by any Insurance Proceeds or other amounts actually recovered (net of any out-of-pocket costs or expenses incurred in the collection thereof) from any Person by or on behalf of the Indemnitee in respect of any indemnifiable Liability; (ii) shall not be increased to take into account any Tax costs incurred by the Indemnitee arising from any Indemnity Payments received from the Indemnifying Party (as defined below); and</w:t>
      </w:r>
    </w:p>
    <w:p>
      <w:pPr>
        <w:spacing w:after="0" w:line="1" w:lineRule="exact"/>
        <w:rPr>
          <w:rFonts w:ascii="Arial" w:cs="Arial" w:eastAsia="Arial" w:hAnsi="Arial"/>
          <w:sz w:val="16"/>
          <w:szCs w:val="16"/>
          <w:color w:val="auto"/>
        </w:rPr>
      </w:pPr>
    </w:p>
    <w:p>
      <w:pPr>
        <w:ind w:right="100" w:firstLine="5"/>
        <w:spacing w:after="0" w:line="307" w:lineRule="auto"/>
        <w:tabs>
          <w:tab w:leader="none" w:pos="30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shall not be reduced to take into account any Tax benefit received by the Indemnitee arising from the incurrence or payment of any Indemnity Payment. Accordingly, the amount which either Party against whom a claim is made for indemnification under this Agreement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is required to pay</w:t>
      </w:r>
    </w:p>
    <w:p>
      <w:pPr>
        <w:sectPr>
          <w:pgSz w:w="11900" w:h="16843" w:orient="portrait"/>
          <w:cols w:equalWidth="0" w:num="1">
            <w:col w:w="11420"/>
          </w:cols>
          <w:pgMar w:left="240" w:top="717" w:right="239" w:bottom="0" w:gutter="0" w:footer="0" w:header="0"/>
        </w:sectPr>
      </w:pPr>
    </w:p>
    <w:bookmarkStart w:id="29" w:name="page30"/>
    <w:bookmarkEnd w:id="29"/>
    <w:p>
      <w:pPr>
        <w:spacing w:after="0" w:line="3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to any Indemnitee shall be reduced by any Insurance Proceeds or any other amounts theretofore actually recovered (net of any out-of-pocket costs or expenses incurred in the collection thereof) by or on behalf of the Indemnitee in respect of the related Liability. If an Indemnitee receives a payment required by this Agreement from an Indemnifying Party in respect of any Liability (an “</w:t>
      </w:r>
      <w:r>
        <w:rPr>
          <w:rFonts w:ascii="Arial" w:cs="Arial" w:eastAsia="Arial" w:hAnsi="Arial"/>
          <w:sz w:val="16"/>
          <w:szCs w:val="16"/>
          <w:u w:val="single" w:color="auto"/>
          <w:color w:val="auto"/>
        </w:rPr>
        <w:t>Indemnity Payment</w:t>
      </w:r>
      <w:r>
        <w:rPr>
          <w:rFonts w:ascii="Arial" w:cs="Arial" w:eastAsia="Arial" w:hAnsi="Arial"/>
          <w:sz w:val="16"/>
          <w:szCs w:val="16"/>
          <w:color w:val="auto"/>
        </w:rPr>
        <w:t>”) and subsequently receives Insurance Proceeds or any other amounts in respect of the related Liability, then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67" w:lineRule="exact"/>
        <w:rPr>
          <w:sz w:val="20"/>
          <w:szCs w:val="20"/>
          <w:color w:val="auto"/>
        </w:rPr>
      </w:pPr>
    </w:p>
    <w:p>
      <w:pPr>
        <w:ind w:right="40" w:firstLine="1263"/>
        <w:spacing w:after="0" w:line="261" w:lineRule="auto"/>
        <w:tabs>
          <w:tab w:leader="none" w:pos="1895"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Insurers and Other Third Parties Not Relieved</w:t>
      </w:r>
      <w:r>
        <w:rPr>
          <w:rFonts w:ascii="Arial" w:cs="Arial" w:eastAsia="Arial" w:hAnsi="Arial"/>
          <w:sz w:val="17"/>
          <w:szCs w:val="17"/>
          <w:color w:val="auto"/>
        </w:rPr>
        <w:t>. The Parties hereby agree that an insurer or other Third Party that would otherwise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be entitled to receive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any Insurance Proceeds that may be collectible or recoverable respecting the Liabilities for which indemnification may be available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Proceeding to collect or recover Insurance Proceeds, and an Indemnitee need not attempt to collect any Insurance Proceeds prior to making a claim for indemnification or receiving any Indemnity Payment otherwise owed to it under this Agreement or any Ancillary Agreement.</w:t>
      </w:r>
    </w:p>
    <w:p>
      <w:pPr>
        <w:spacing w:after="0" w:line="18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4.05.</w:t>
      </w:r>
      <w:r>
        <w:rPr>
          <w:sz w:val="20"/>
          <w:szCs w:val="20"/>
          <w:color w:val="auto"/>
        </w:rPr>
        <w:tab/>
      </w:r>
      <w:r>
        <w:rPr>
          <w:rFonts w:ascii="Arial" w:cs="Arial" w:eastAsia="Arial" w:hAnsi="Arial"/>
          <w:sz w:val="16"/>
          <w:szCs w:val="16"/>
          <w:u w:val="single" w:color="auto"/>
          <w:color w:val="auto"/>
        </w:rPr>
        <w:t>Procedures for Indemnification of Third Party Claims</w:t>
      </w:r>
      <w:r>
        <w:rPr>
          <w:rFonts w:ascii="Arial" w:cs="Arial" w:eastAsia="Arial" w:hAnsi="Arial"/>
          <w:sz w:val="16"/>
          <w:szCs w:val="16"/>
          <w:color w:val="auto"/>
        </w:rPr>
        <w:t>.</w:t>
      </w:r>
    </w:p>
    <w:p>
      <w:pPr>
        <w:spacing w:after="0" w:line="224" w:lineRule="exact"/>
        <w:rPr>
          <w:sz w:val="20"/>
          <w:szCs w:val="20"/>
          <w:color w:val="auto"/>
        </w:rPr>
      </w:pPr>
    </w:p>
    <w:p>
      <w:pPr>
        <w:jc w:val="both"/>
        <w:ind w:right="240" w:firstLine="1263"/>
        <w:spacing w:after="0" w:line="273" w:lineRule="auto"/>
        <w:tabs>
          <w:tab w:leader="none" w:pos="1885"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Notice of Claims. </w:t>
      </w:r>
      <w:r>
        <w:rPr>
          <w:rFonts w:ascii="Arial" w:cs="Arial" w:eastAsia="Arial" w:hAnsi="Arial"/>
          <w:sz w:val="17"/>
          <w:szCs w:val="17"/>
          <w:color w:val="auto"/>
        </w:rPr>
        <w:t>If, at or following the date of this Agreement, an Indemnitee receives notice or otherwise learns of the assertion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by a Third Party of any Proceeding against the Indemnitee with respect to which the Indemnitee believes that AbbVie (in the case of an Abbott Indemnitee) or Abbott (in the case of an AbbVie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Indemnitee) is obligated to provide indemnification to such Indemnitee pursuant to this Agreement or any Ancillary Agreement (collectively, a “</w:t>
      </w:r>
      <w:r>
        <w:rPr>
          <w:rFonts w:ascii="Arial" w:cs="Arial" w:eastAsia="Arial" w:hAnsi="Arial"/>
          <w:sz w:val="16"/>
          <w:szCs w:val="16"/>
          <w:u w:val="single" w:color="auto"/>
          <w:color w:val="auto"/>
        </w:rPr>
        <w:t>Third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such Indemnitee shall give such Indemnifying Party Notice thereof within ten (10) days (or sooner if the nature of the Third Party Claim so requires) after becoming aware of such Third Party Claim. The Notice must describe the Third Party Claim in reasonable detail or, in the alternative, include copies of all notices and documents (including court papers) received by the Indemnitee relating to the Third Party Claim. Notwithstanding the foregoing, the failure of any Indemnitee to give the Notice as provided in this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shall not relieve the related Indemnifying Party of its obligations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except to the extent that such Indemnifying Party is actually prejudiced by such failure to give the Notice in accordance with this </w:t>
      </w:r>
      <w:r>
        <w:rPr>
          <w:rFonts w:ascii="Arial" w:cs="Arial" w:eastAsia="Arial" w:hAnsi="Arial"/>
          <w:sz w:val="16"/>
          <w:szCs w:val="16"/>
          <w:u w:val="single" w:color="auto"/>
          <w:color w:val="auto"/>
        </w:rPr>
        <w:t>Section 4.05(a)</w:t>
      </w:r>
      <w:r>
        <w:rPr>
          <w:rFonts w:ascii="Arial" w:cs="Arial" w:eastAsia="Arial" w:hAnsi="Arial"/>
          <w:sz w:val="16"/>
          <w:szCs w:val="16"/>
          <w:color w:val="auto"/>
        </w:rPr>
        <w:t>.</w:t>
      </w:r>
    </w:p>
    <w:p>
      <w:pPr>
        <w:spacing w:after="0" w:line="167" w:lineRule="exact"/>
        <w:rPr>
          <w:sz w:val="20"/>
          <w:szCs w:val="20"/>
          <w:color w:val="auto"/>
        </w:rPr>
      </w:pPr>
    </w:p>
    <w:p>
      <w:pPr>
        <w:ind w:firstLine="1263"/>
        <w:spacing w:after="0" w:line="262" w:lineRule="auto"/>
        <w:tabs>
          <w:tab w:leader="none" w:pos="1895"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Control of Defense. </w:t>
      </w:r>
      <w:r>
        <w:rPr>
          <w:rFonts w:ascii="Arial" w:cs="Arial" w:eastAsia="Arial" w:hAnsi="Arial"/>
          <w:sz w:val="17"/>
          <w:szCs w:val="17"/>
          <w:color w:val="auto"/>
        </w:rPr>
        <w:t>An Indemnifying Party may elect to defend (and seek to settle or compromise), at its own expense and with its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counsel, any Third Party Claim. Within thirty (30) days after the receipt of a Notice from an Indemnitee in accordance with </w:t>
      </w:r>
      <w:r>
        <w:rPr>
          <w:rFonts w:ascii="Arial" w:cs="Arial" w:eastAsia="Arial" w:hAnsi="Arial"/>
          <w:sz w:val="17"/>
          <w:szCs w:val="17"/>
          <w:u w:val="single" w:color="auto"/>
          <w:color w:val="auto"/>
        </w:rPr>
        <w:t>Section 4.05(a)</w:t>
      </w:r>
      <w:r>
        <w:rPr>
          <w:rFonts w:ascii="Arial" w:cs="Arial" w:eastAsia="Arial" w:hAnsi="Arial"/>
          <w:sz w:val="17"/>
          <w:szCs w:val="17"/>
          <w:color w:val="auto"/>
        </w:rPr>
        <w:t xml:space="preserve"> (or sooner, if the nature of the Third Party Claim so requires), the Indemnifying Party shall provide a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4.05(a)</w:t>
      </w:r>
      <w:r>
        <w:rPr>
          <w:rFonts w:ascii="Arial" w:cs="Arial" w:eastAsia="Arial" w:hAnsi="Arial"/>
          <w:sz w:val="17"/>
          <w:szCs w:val="17"/>
          <w:color w:val="auto"/>
        </w:rPr>
        <w:t xml:space="preserve">, then the Indemnitee that is the subject of such Third Party Claim shall be entitled to continue to conduct and control the defense of such Third Party Claim. Notwithstanding anything to the contrary in this Agreement, the defense of any Proceeding described on </w:t>
      </w:r>
      <w:r>
        <w:rPr>
          <w:rFonts w:ascii="Arial" w:cs="Arial" w:eastAsia="Arial" w:hAnsi="Arial"/>
          <w:sz w:val="17"/>
          <w:szCs w:val="17"/>
          <w:u w:val="single" w:color="auto"/>
          <w:color w:val="auto"/>
        </w:rPr>
        <w:t>Schedule 4.05(b)</w:t>
      </w:r>
      <w:r>
        <w:rPr>
          <w:rFonts w:ascii="Arial" w:cs="Arial" w:eastAsia="Arial" w:hAnsi="Arial"/>
          <w:sz w:val="17"/>
          <w:szCs w:val="17"/>
          <w:color w:val="auto"/>
        </w:rPr>
        <w:t xml:space="preserve"> shall be conducted and controlled as set forth on such schedule.</w:t>
      </w:r>
    </w:p>
    <w:p>
      <w:pPr>
        <w:spacing w:after="0" w:line="180" w:lineRule="exact"/>
        <w:rPr>
          <w:rFonts w:ascii="Arial" w:cs="Arial" w:eastAsia="Arial" w:hAnsi="Arial"/>
          <w:sz w:val="17"/>
          <w:szCs w:val="17"/>
          <w:color w:val="auto"/>
        </w:rPr>
      </w:pPr>
    </w:p>
    <w:p>
      <w:pPr>
        <w:ind w:right="140" w:firstLine="1263"/>
        <w:spacing w:after="0" w:line="279" w:lineRule="auto"/>
        <w:tabs>
          <w:tab w:leader="none" w:pos="1898"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Allocation of Defense Costs. </w:t>
      </w:r>
      <w:r>
        <w:rPr>
          <w:rFonts w:ascii="Arial" w:cs="Arial" w:eastAsia="Arial" w:hAnsi="Arial"/>
          <w:sz w:val="16"/>
          <w:szCs w:val="16"/>
          <w:color w:val="auto"/>
        </w:rPr>
        <w:t>If an Indemnifying Party has elected to assume the defense of a Third Party Claim, whether with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during the course of its defense of such Third Party Claim,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and the Indemnitee conducts and controls the defense of such Third Party Claim, then the Indemnifying Party shall be liable for all reasonable fees and expenses incurred by the Indemnitee in connection with the defense of such Third Party Claim. Notwithstanding anything to the contrary, the costs and expenses of the Proceedings described on </w:t>
      </w:r>
      <w:r>
        <w:rPr>
          <w:rFonts w:ascii="Arial" w:cs="Arial" w:eastAsia="Arial" w:hAnsi="Arial"/>
          <w:sz w:val="16"/>
          <w:szCs w:val="16"/>
          <w:u w:val="single" w:color="auto"/>
          <w:color w:val="auto"/>
        </w:rPr>
        <w:t>Schedule 4.05(b)</w:t>
      </w:r>
      <w:r>
        <w:rPr>
          <w:rFonts w:ascii="Arial" w:cs="Arial" w:eastAsia="Arial" w:hAnsi="Arial"/>
          <w:sz w:val="16"/>
          <w:szCs w:val="16"/>
          <w:color w:val="auto"/>
        </w:rPr>
        <w:t xml:space="preserve"> shall be allocated as set forth on such Schedule.</w:t>
      </w:r>
    </w:p>
    <w:p>
      <w:pPr>
        <w:spacing w:after="0" w:line="172" w:lineRule="exact"/>
        <w:rPr>
          <w:rFonts w:ascii="Arial" w:cs="Arial" w:eastAsia="Arial" w:hAnsi="Arial"/>
          <w:sz w:val="16"/>
          <w:szCs w:val="16"/>
          <w:color w:val="auto"/>
        </w:rPr>
      </w:pPr>
    </w:p>
    <w:p>
      <w:pPr>
        <w:ind w:right="220" w:firstLine="1263"/>
        <w:spacing w:after="0" w:line="268" w:lineRule="auto"/>
        <w:tabs>
          <w:tab w:leader="none" w:pos="1895"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Right to Monitor and Participate. </w:t>
      </w:r>
      <w:r>
        <w:rPr>
          <w:rFonts w:ascii="Arial" w:cs="Arial" w:eastAsia="Arial" w:hAnsi="Arial"/>
          <w:sz w:val="17"/>
          <w:szCs w:val="17"/>
          <w:color w:val="auto"/>
        </w:rPr>
        <w:t>An Indemnitee that does not conduct and control the defense of any Third Party Claim, or an</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Indemnifying Party that has failed to elect to defend any Third Party Claim as contemplated hereby, nevertheless shall have the right to employ separate counsel (including local counsel as necessary) of its own choosing to monitor and participate in (but not control) the defense of any Third Party Claim for which it is a potential Indemnitee or Indemnifying Party, but the fees and expenses of such counsel shall be 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 xml:space="preserve">the expense of such Indemnitee or Indemnifying Party, as the case may be, and the provisions of </w:t>
      </w:r>
      <w:r>
        <w:rPr>
          <w:rFonts w:ascii="Arial" w:cs="Arial" w:eastAsia="Arial" w:hAnsi="Arial"/>
          <w:sz w:val="17"/>
          <w:szCs w:val="17"/>
          <w:u w:val="single" w:color="auto"/>
          <w:color w:val="auto"/>
        </w:rPr>
        <w:t>Section 4.05(c)</w:t>
      </w:r>
      <w:r>
        <w:rPr>
          <w:rFonts w:ascii="Arial" w:cs="Arial" w:eastAsia="Arial" w:hAnsi="Arial"/>
          <w:sz w:val="17"/>
          <w:szCs w:val="17"/>
          <w:color w:val="auto"/>
        </w:rPr>
        <w:t xml:space="preserve"> shall not apply to such fees and expenses. Notwithstanding the foregoing, subject to </w:t>
      </w:r>
      <w:r>
        <w:rPr>
          <w:rFonts w:ascii="Arial" w:cs="Arial" w:eastAsia="Arial" w:hAnsi="Arial"/>
          <w:sz w:val="17"/>
          <w:szCs w:val="17"/>
          <w:u w:val="single" w:color="auto"/>
          <w:color w:val="auto"/>
        </w:rPr>
        <w:t>Sections 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such Party shall cooperate with the Party entitled to conduct and control the defense of such Third 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counsel (including local counsel as necessary) and to participate in (but not control) the defense, compromise, or settlement thereof, and the Indemnifying Party shall bear the reasonable fees and expenses of such counsel for all Indemnitees.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-834390</wp:posOffset>
            </wp:positionV>
            <wp:extent cx="27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61" w:lineRule="exact"/>
        <w:rPr>
          <w:sz w:val="20"/>
          <w:szCs w:val="20"/>
          <w:color w:val="auto"/>
        </w:rPr>
      </w:pPr>
    </w:p>
    <w:p>
      <w:pPr>
        <w:ind w:right="100" w:firstLine="1263"/>
        <w:spacing w:after="0" w:line="305" w:lineRule="auto"/>
        <w:tabs>
          <w:tab w:leader="none" w:pos="1898"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No Settlement</w:t>
      </w:r>
      <w:r>
        <w:rPr>
          <w:rFonts w:ascii="Arial" w:cs="Arial" w:eastAsia="Arial" w:hAnsi="Arial"/>
          <w:sz w:val="15"/>
          <w:szCs w:val="15"/>
          <w:color w:val="auto"/>
        </w:rPr>
        <w:t>. Neither Party may settle or compromise any Third Party Claim for which either Party is seeking to be indemnified</w:t>
      </w:r>
      <w:r>
        <w:rPr>
          <w:rFonts w:ascii="Arial" w:cs="Arial" w:eastAsia="Arial" w:hAnsi="Arial"/>
          <w:sz w:val="15"/>
          <w:szCs w:val="15"/>
          <w:i w:val="1"/>
          <w:iCs w:val="1"/>
          <w:color w:val="auto"/>
        </w:rPr>
        <w:t xml:space="preserve"> </w:t>
      </w:r>
      <w:r>
        <w:rPr>
          <w:rFonts w:ascii="Arial" w:cs="Arial" w:eastAsia="Arial" w:hAnsi="Arial"/>
          <w:sz w:val="15"/>
          <w:szCs w:val="15"/>
          <w:color w:val="auto"/>
        </w:rPr>
        <w:t>hereunder without the prior written consent of the other Party, which consent may not be unreasonably withheld, unless such settlement or compromise is solely for monetary damages, does not involve any finding or determination of wrongdoing or violation of Law by the other Party and provides for a full, unconditional and irrevocable release of the other Party from all Liability in connection with the Third Party Claim. The Parties hereby agree that if a Party presents the other Party with a Notice containing a proposal to settle or compromise a Third Party Claim for which either Party is seeking to be indemnified hereunder and the Party receiving such proposal does not respond in any manner to the Party presenting such proposal within thirty (30) days (or within any such shorter time period that</w:t>
      </w:r>
    </w:p>
    <w:p>
      <w:pPr>
        <w:sectPr>
          <w:pgSz w:w="11900" w:h="16876" w:orient="portrait"/>
          <w:cols w:equalWidth="0" w:num="1">
            <w:col w:w="11420"/>
          </w:cols>
          <w:pgMar w:left="240" w:top="127" w:right="239" w:bottom="0" w:gutter="0" w:footer="0" w:header="0"/>
        </w:sectPr>
      </w:pPr>
    </w:p>
    <w:bookmarkStart w:id="30" w:name="page31"/>
    <w:bookmarkEnd w:id="30"/>
    <w:p>
      <w:pPr>
        <w:ind w:right="320"/>
        <w:spacing w:after="0" w:line="289" w:lineRule="auto"/>
        <w:rPr>
          <w:sz w:val="20"/>
          <w:szCs w:val="20"/>
          <w:color w:val="auto"/>
        </w:rPr>
      </w:pPr>
      <w:r>
        <w:rPr>
          <w:rFonts w:ascii="Arial" w:cs="Arial" w:eastAsia="Arial" w:hAnsi="Arial"/>
          <w:sz w:val="17"/>
          <w:szCs w:val="17"/>
          <w:color w:val="auto"/>
        </w:rPr>
        <w:t>may be required by applicable Law or court order) of receipt of such proposal, then the Party receiving such proposal shall be deemed to have consented to the terms of such proposal.</w:t>
      </w:r>
    </w:p>
    <w:p>
      <w:pPr>
        <w:spacing w:after="0" w:line="158" w:lineRule="exact"/>
        <w:rPr>
          <w:sz w:val="20"/>
          <w:szCs w:val="20"/>
          <w:color w:val="auto"/>
        </w:rPr>
      </w:pPr>
    </w:p>
    <w:p>
      <w:pPr>
        <w:ind w:right="40" w:firstLine="1263"/>
        <w:spacing w:after="0" w:line="273" w:lineRule="auto"/>
        <w:tabs>
          <w:tab w:leader="none" w:pos="1892"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Pending Third Party Claims</w:t>
      </w:r>
      <w:r>
        <w:rPr>
          <w:rFonts w:ascii="Arial" w:cs="Arial" w:eastAsia="Arial" w:hAnsi="Arial"/>
          <w:sz w:val="17"/>
          <w:szCs w:val="17"/>
          <w:color w:val="auto"/>
        </w:rPr>
        <w:t>. The provisions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to Third Party Claims that are already pending or asserted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well as Third Party Claims brought or asserted after the date of this Agreement. There shall be no requirement under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to give a Notice with respect to any Third Party Claims that exist as of the Effective Time.</w:t>
      </w:r>
    </w:p>
    <w:p>
      <w:pPr>
        <w:spacing w:after="0" w:line="171" w:lineRule="exact"/>
        <w:rPr>
          <w:rFonts w:ascii="Arial" w:cs="Arial" w:eastAsia="Arial" w:hAnsi="Arial"/>
          <w:sz w:val="17"/>
          <w:szCs w:val="17"/>
          <w:color w:val="auto"/>
        </w:rPr>
      </w:pPr>
    </w:p>
    <w:p>
      <w:pPr>
        <w:ind w:right="180" w:firstLine="1263"/>
        <w:spacing w:after="0" w:line="290" w:lineRule="auto"/>
        <w:tabs>
          <w:tab w:leader="none" w:pos="1908"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Allocation of Proceeding Liabilities</w:t>
      </w:r>
      <w:r>
        <w:rPr>
          <w:rFonts w:ascii="Arial" w:cs="Arial" w:eastAsia="Arial" w:hAnsi="Arial"/>
          <w:sz w:val="16"/>
          <w:szCs w:val="16"/>
          <w:color w:val="auto"/>
        </w:rPr>
        <w:t>. The Parties acknowledge that Liabilities for Proceedings (regardless of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Proceeding) may be partly Abbott Liabilities and partly AbbVie Liabilities. If the Parties cannot agree on an allocation of any such Liabilities for Proceedings, they shall resolve the matter pursuant to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Neither Party shall, nor shall either Party permit its Subsidiaries to, file Third Party claims or cross-claims against the other Party or its Subsidiaries in a Proceeding in which a Third Party Claim is being resolved.</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4.06.</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224" w:lineRule="exact"/>
        <w:rPr>
          <w:sz w:val="20"/>
          <w:szCs w:val="20"/>
          <w:color w:val="auto"/>
        </w:rPr>
      </w:pPr>
    </w:p>
    <w:p>
      <w:pPr>
        <w:ind w:right="160" w:firstLine="1263"/>
        <w:spacing w:after="0" w:line="273" w:lineRule="auto"/>
        <w:tabs>
          <w:tab w:leader="none" w:pos="1885"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Timing of Payments. </w:t>
      </w:r>
      <w:r>
        <w:rPr>
          <w:rFonts w:ascii="Arial" w:cs="Arial" w:eastAsia="Arial" w:hAnsi="Arial"/>
          <w:sz w:val="17"/>
          <w:szCs w:val="17"/>
          <w:color w:val="auto"/>
        </w:rPr>
        <w:t>Indemnity Payments or contribution payments in respect of any Liabilities for which an Indemnitee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paid reasonably promptly (but in any event within sixty (60) days of the final determination of the amount that the Indemnitee is entitled to indemnification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contribution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by the Indemnifying Party to the Indemnitee as such Liabilities are incurred upon demand by the Indemnitee, including reasonably satisfactory documentation setting forth the basis for the amount of such Indemnity Payments or contribution payments,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remain operative and in full force and effect, regardless of (i) any investigation made by or on behalf of any Indemnitee; and (ii) the knowledge by the Indemnitee of Liabilities for which it might be entitled to indemnification or contribution hereunder.</w:t>
      </w:r>
    </w:p>
    <w:p>
      <w:pPr>
        <w:spacing w:after="0" w:line="166" w:lineRule="exact"/>
        <w:rPr>
          <w:sz w:val="20"/>
          <w:szCs w:val="20"/>
          <w:color w:val="auto"/>
        </w:rPr>
      </w:pPr>
    </w:p>
    <w:p>
      <w:pPr>
        <w:ind w:firstLine="1263"/>
        <w:spacing w:after="0" w:line="261" w:lineRule="auto"/>
        <w:tabs>
          <w:tab w:leader="none" w:pos="1895"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Notice of Direct Claims</w:t>
      </w:r>
      <w:r>
        <w:rPr>
          <w:rFonts w:ascii="Arial" w:cs="Arial" w:eastAsia="Arial" w:hAnsi="Arial"/>
          <w:sz w:val="17"/>
          <w:szCs w:val="17"/>
          <w:color w:val="auto"/>
        </w:rPr>
        <w:t>. Any claim for indemnification under this Agreement or any Ancillary Agreement which does not result from a</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Claim (a “</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must be asserted by a Notice given by the Indemnitee to the applicable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by an Indemnitee to so assert any such Direct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Direct Claim specified in such Notice shall be conclusively deemed a Liability of the Indemnifying Party under this </w:t>
      </w:r>
      <w:r>
        <w:rPr>
          <w:rFonts w:ascii="Arial" w:cs="Arial" w:eastAsia="Arial" w:hAnsi="Arial"/>
          <w:sz w:val="17"/>
          <w:szCs w:val="17"/>
          <w:u w:val="single" w:color="auto"/>
          <w:color w:val="auto"/>
        </w:rPr>
        <w:t>Section 4.06(b)</w:t>
      </w:r>
      <w:r>
        <w:rPr>
          <w:rFonts w:ascii="Arial" w:cs="Arial" w:eastAsia="Arial" w:hAnsi="Arial"/>
          <w:sz w:val="17"/>
          <w:szCs w:val="17"/>
          <w:color w:val="auto"/>
        </w:rPr>
        <w:t xml:space="preserve"> or, in the case of any Notice in which the amount of the Direct Claim (or any portion thereof) is estimated, on such later date when the amount of such Direct Claim (or such portion thereof) becomes finally determined. If such Indemnifying Party does not respond within such thirty (30)-day period or rejects such claim in whole or in part, such Indemnitee shall be free to pursue such remedies as may be available to such Indemnitee as contemplated by this Agreement or the Ancillary Agreements, as applicable, without prejudice to its continuing rights to pursue indemnification or contribution hereunder.</w:t>
      </w:r>
    </w:p>
    <w:p>
      <w:pPr>
        <w:spacing w:after="0" w:line="181" w:lineRule="exact"/>
        <w:rPr>
          <w:rFonts w:ascii="Arial" w:cs="Arial" w:eastAsia="Arial" w:hAnsi="Arial"/>
          <w:sz w:val="17"/>
          <w:szCs w:val="17"/>
          <w:color w:val="auto"/>
        </w:rPr>
      </w:pPr>
    </w:p>
    <w:p>
      <w:pPr>
        <w:ind w:right="60" w:firstLine="1263"/>
        <w:spacing w:after="0" w:line="265" w:lineRule="auto"/>
        <w:tabs>
          <w:tab w:leader="none" w:pos="1898"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Subrogation</w:t>
      </w:r>
      <w:r>
        <w:rPr>
          <w:rFonts w:ascii="Arial" w:cs="Arial" w:eastAsia="Arial" w:hAnsi="Arial"/>
          <w:sz w:val="17"/>
          <w:szCs w:val="17"/>
          <w:color w:val="auto"/>
        </w:rPr>
        <w:t>. In the event of payment by or on behalf of any Indemnifying Party to any Indemnitee in connection with any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Pursuit of Claims Against Third Parties</w:t>
      </w:r>
      <w:r>
        <w:rPr>
          <w:rFonts w:ascii="Arial" w:cs="Arial" w:eastAsia="Arial" w:hAnsi="Arial"/>
          <w:sz w:val="16"/>
          <w:szCs w:val="16"/>
          <w:color w:val="auto"/>
        </w:rPr>
        <w:t>. If (i) a Party incurs any Liability arising out of this Agreement or any Ancillary Agreement;</w:t>
      </w:r>
    </w:p>
    <w:p>
      <w:pPr>
        <w:spacing w:after="0" w:line="37" w:lineRule="exact"/>
        <w:rPr>
          <w:rFonts w:ascii="Arial" w:cs="Arial" w:eastAsia="Arial" w:hAnsi="Arial"/>
          <w:sz w:val="16"/>
          <w:szCs w:val="16"/>
          <w:color w:val="auto"/>
        </w:rPr>
      </w:pPr>
    </w:p>
    <w:p>
      <w:pPr>
        <w:ind w:right="100" w:firstLine="5"/>
        <w:spacing w:after="0" w:line="263" w:lineRule="auto"/>
        <w:tabs>
          <w:tab w:leader="none" w:pos="2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179" w:lineRule="exact"/>
        <w:rPr>
          <w:rFonts w:ascii="Arial" w:cs="Arial" w:eastAsia="Arial" w:hAnsi="Arial"/>
          <w:sz w:val="17"/>
          <w:szCs w:val="17"/>
          <w:color w:val="auto"/>
        </w:rPr>
      </w:pPr>
    </w:p>
    <w:p>
      <w:pPr>
        <w:ind w:right="320" w:firstLine="1263"/>
        <w:spacing w:after="0" w:line="289" w:lineRule="auto"/>
        <w:tabs>
          <w:tab w:leader="none" w:pos="1898"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Substitution</w:t>
      </w:r>
      <w:r>
        <w:rPr>
          <w:rFonts w:ascii="Arial" w:cs="Arial" w:eastAsia="Arial" w:hAnsi="Arial"/>
          <w:sz w:val="17"/>
          <w:szCs w:val="17"/>
          <w:color w:val="auto"/>
        </w:rPr>
        <w:t>. In any Proceeding in which the Indemnifying Party is not a named defendant, if either the Indemnitee or Indemnifying</w:t>
      </w:r>
      <w:r>
        <w:rPr>
          <w:rFonts w:ascii="Arial" w:cs="Arial" w:eastAsia="Arial" w:hAnsi="Arial"/>
          <w:sz w:val="17"/>
          <w:szCs w:val="17"/>
          <w:i w:val="1"/>
          <w:iCs w:val="1"/>
          <w:color w:val="auto"/>
        </w:rPr>
        <w:t xml:space="preserve"> </w:t>
      </w:r>
      <w:r>
        <w:rPr>
          <w:rFonts w:ascii="Arial" w:cs="Arial" w:eastAsia="Arial" w:hAnsi="Arial"/>
          <w:sz w:val="17"/>
          <w:szCs w:val="17"/>
          <w:color w:val="auto"/>
        </w:rPr>
        <w:t>Party shall so request, the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shall endeavor to substitute the Indemnifying Party for the named defendant if they conclude that substitution is desirable and practicable. If such substitution or addition cannot be achieved for any reason or is not requested, the named defendant shall allow the Indemnifying Party to manage the Proceeding as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4.06</w:t>
      </w:r>
      <w:r>
        <w:rPr>
          <w:rFonts w:ascii="Arial" w:cs="Arial" w:eastAsia="Arial" w:hAnsi="Arial"/>
          <w:sz w:val="17"/>
          <w:szCs w:val="17"/>
          <w:color w:val="auto"/>
        </w:rPr>
        <w:t>, and the Indemnifying Party shall fully indemnify the named defendant against all costs of defending the Proceeding (including court costs, sanctions imposed by a court, attorneys’ fees, experts fees and all other external expenses), the costs of any judgment or settlement, and the cost of any interest or penalties relating to any judgment or settlement.</w:t>
      </w:r>
    </w:p>
    <w:p>
      <w:pPr>
        <w:spacing w:after="0" w:line="17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4.07.</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65" w:lineRule="auto"/>
        <w:tabs>
          <w:tab w:leader="none" w:pos="188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If any right of indemnification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4.03</w:t>
      </w:r>
      <w:r>
        <w:rPr>
          <w:rFonts w:ascii="Arial" w:cs="Arial" w:eastAsia="Arial" w:hAnsi="Arial"/>
          <w:sz w:val="17"/>
          <w:szCs w:val="17"/>
          <w:i w:val="1"/>
          <w:iCs w:val="1"/>
          <w:color w:val="auto"/>
        </w:rPr>
        <w:t xml:space="preserve"> </w:t>
      </w:r>
      <w:r>
        <w:rPr>
          <w:rFonts w:ascii="Arial" w:cs="Arial" w:eastAsia="Arial" w:hAnsi="Arial"/>
          <w:sz w:val="17"/>
          <w:szCs w:val="17"/>
          <w:color w:val="auto"/>
        </w:rPr>
        <w:t>is held unenforceable or is unavailable for any reason, or</w:t>
      </w:r>
      <w:r>
        <w:rPr>
          <w:rFonts w:ascii="Arial" w:cs="Arial" w:eastAsia="Arial" w:hAnsi="Arial"/>
          <w:sz w:val="17"/>
          <w:szCs w:val="17"/>
          <w:i w:val="1"/>
          <w:iCs w:val="1"/>
          <w:color w:val="auto"/>
        </w:rPr>
        <w:t xml:space="preserve"> </w:t>
      </w:r>
      <w:r>
        <w:rPr>
          <w:rFonts w:ascii="Arial" w:cs="Arial" w:eastAsia="Arial" w:hAnsi="Arial"/>
          <w:sz w:val="17"/>
          <w:szCs w:val="17"/>
          <w:color w:val="auto"/>
        </w:rPr>
        <w:t>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its Subsidiaries, on the one hand, and the Indemnitees entitled to contribution, on the other hand, as well as any other relevant equitable considerations.</w:t>
      </w:r>
    </w:p>
    <w:p>
      <w:pPr>
        <w:spacing w:after="0" w:line="179" w:lineRule="exact"/>
        <w:rPr>
          <w:rFonts w:ascii="Arial" w:cs="Arial" w:eastAsia="Arial" w:hAnsi="Arial"/>
          <w:sz w:val="17"/>
          <w:szCs w:val="17"/>
          <w:color w:val="auto"/>
        </w:rPr>
      </w:pPr>
    </w:p>
    <w:p>
      <w:pPr>
        <w:ind w:right="20" w:firstLine="1263"/>
        <w:spacing w:after="0" w:line="281" w:lineRule="auto"/>
        <w:tabs>
          <w:tab w:leader="none" w:pos="189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Allocation of Relative Fault</w:t>
      </w:r>
      <w:r>
        <w:rPr>
          <w:rFonts w:ascii="Arial" w:cs="Arial" w:eastAsia="Arial" w:hAnsi="Arial"/>
          <w:sz w:val="16"/>
          <w:szCs w:val="16"/>
          <w:color w:val="auto"/>
        </w:rPr>
        <w:t>. Solely for purposes of determining relative fault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4.07</w:t>
      </w:r>
      <w:r>
        <w:rPr>
          <w:rFonts w:ascii="Arial" w:cs="Arial" w:eastAsia="Arial" w:hAnsi="Arial"/>
          <w:sz w:val="16"/>
          <w:szCs w:val="16"/>
          <w:color w:val="auto"/>
        </w:rPr>
        <w:t>: (i) any fault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business conducted with the Deferred AbbVie Local Businesses, Delayed AbbVie Assets or Delayed AbbVie Liabilities (except for the gross negligence or intentional misconduct of Abbott or an Abbott Subsidiary) or with the ownership, operation or activities of the AbbVie Business prior to the Effective Time shall be deemed to be the fault of AbbVie and the AbbVie Subsidiaries, and no such fault shall be deemed to be the fault of Abbott or an Abbott Subsidiary; (ii) any fault associated with the business conducted with Delayed Abbott Assets or Delayed Abbott Liabilities (except for the gross negligence or intentional misconduct of AbbVie or an AbbVie Subsidiary) shall be deemed to be the fault of Abbott and the Abbott Subsidiaries, and no such fault shall be deemed to be the fault of AbbVie or an AbbVie Subsidiary; and (iii) any fault associated with the ownership, operation or activities of the Abbott Business prior to the Effective</w:t>
      </w:r>
    </w:p>
    <w:p>
      <w:pPr>
        <w:sectPr>
          <w:pgSz w:w="11900" w:h="16838" w:orient="portrait"/>
          <w:cols w:equalWidth="0" w:num="1">
            <w:col w:w="11420"/>
          </w:cols>
          <w:pgMar w:left="240" w:top="127" w:right="239" w:bottom="0" w:gutter="0" w:footer="0" w:header="0"/>
        </w:sectPr>
      </w:pPr>
    </w:p>
    <w:bookmarkStart w:id="31" w:name="page32"/>
    <w:bookmarkEnd w:id="31"/>
    <w:p>
      <w:pPr>
        <w:ind w:right="880"/>
        <w:spacing w:after="0" w:line="289" w:lineRule="auto"/>
        <w:rPr>
          <w:sz w:val="20"/>
          <w:szCs w:val="20"/>
          <w:color w:val="auto"/>
        </w:rPr>
      </w:pPr>
      <w:r>
        <w:rPr>
          <w:rFonts w:ascii="Arial" w:cs="Arial" w:eastAsia="Arial" w:hAnsi="Arial"/>
          <w:sz w:val="17"/>
          <w:szCs w:val="17"/>
          <w:color w:val="auto"/>
        </w:rPr>
        <w:t>Time shall be deemed to be the fault of Abbott and the Abbott Subsidiaries, and no such fault shall be deemed to be the fault of AbbVie or the AbbVie Subsidiaries.</w:t>
      </w:r>
    </w:p>
    <w:p>
      <w:pPr>
        <w:spacing w:after="0" w:line="158" w:lineRule="exact"/>
        <w:rPr>
          <w:sz w:val="20"/>
          <w:szCs w:val="20"/>
          <w:color w:val="auto"/>
        </w:rPr>
      </w:pPr>
    </w:p>
    <w:p>
      <w:pPr>
        <w:ind w:left="1900" w:hanging="637"/>
        <w:spacing w:after="0"/>
        <w:tabs>
          <w:tab w:leader="none" w:pos="1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Contribution Procedures</w:t>
      </w:r>
      <w:r>
        <w:rPr>
          <w:rFonts w:ascii="Arial" w:cs="Arial" w:eastAsia="Arial" w:hAnsi="Arial"/>
          <w:sz w:val="16"/>
          <w:szCs w:val="16"/>
          <w:color w:val="auto"/>
        </w:rPr>
        <w:t>. The provisions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4.04</w:t>
      </w:r>
      <w:r>
        <w:rPr>
          <w:rFonts w:ascii="Arial" w:cs="Arial" w:eastAsia="Arial" w:hAnsi="Arial"/>
          <w:sz w:val="16"/>
          <w:szCs w:val="16"/>
          <w:i w:val="1"/>
          <w:iCs w:val="1"/>
          <w:color w:val="auto"/>
        </w:rPr>
        <w:t xml:space="preserve"> </w:t>
      </w:r>
      <w:r>
        <w:rPr>
          <w:rFonts w:ascii="Arial" w:cs="Arial" w:eastAsia="Arial" w:hAnsi="Arial"/>
          <w:sz w:val="16"/>
          <w:szCs w:val="16"/>
          <w:color w:val="auto"/>
        </w:rPr>
        <w:t>through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5.04</w:t>
      </w:r>
      <w:r>
        <w:rPr>
          <w:rFonts w:ascii="Arial" w:cs="Arial" w:eastAsia="Arial" w:hAnsi="Arial"/>
          <w:sz w:val="16"/>
          <w:szCs w:val="16"/>
          <w:i w:val="1"/>
          <w:iCs w:val="1"/>
          <w:color w:val="auto"/>
        </w:rPr>
        <w:t xml:space="preserve"> </w:t>
      </w:r>
      <w:r>
        <w:rPr>
          <w:rFonts w:ascii="Arial" w:cs="Arial" w:eastAsia="Arial" w:hAnsi="Arial"/>
          <w:sz w:val="16"/>
          <w:szCs w:val="16"/>
          <w:color w:val="auto"/>
        </w:rPr>
        <w:t>through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5.07</w:t>
      </w:r>
      <w:r>
        <w:rPr>
          <w:rFonts w:ascii="Arial" w:cs="Arial" w:eastAsia="Arial" w:hAnsi="Arial"/>
          <w:sz w:val="16"/>
          <w:szCs w:val="16"/>
          <w:i w:val="1"/>
          <w:iCs w:val="1"/>
          <w:color w:val="auto"/>
        </w:rPr>
        <w:t xml:space="preserve"> </w:t>
      </w:r>
      <w:r>
        <w:rPr>
          <w:rFonts w:ascii="Arial" w:cs="Arial" w:eastAsia="Arial" w:hAnsi="Arial"/>
          <w:sz w:val="16"/>
          <w:szCs w:val="16"/>
          <w:color w:val="auto"/>
        </w:rPr>
        <w:t>shall govern any contribution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claims.</w:t>
      </w:r>
    </w:p>
    <w:p>
      <w:pPr>
        <w:spacing w:after="0" w:line="21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Each Party hereby covenants and agrees that none of it, its Subsidiaries or any Person claiming through it shall bring suit or otherwise assert any claim against any Indemnitee, or assert a defense against any claim asserted by any Indemnitee, before any court, arbitrator, neutral mediator or administrative agency anywhere in the world, alleging that: (a) the assumption of any AbbVie Liabilities by AbbVie and the AbbVie Subsidiaries on the terms and conditions set forth in this Agreement and the Ancillary Agreements is void or unenforceable for any reason; (b) the retention of any Abbott Liabilities by Abbott and the Abbott Subsidiaries on the terms and conditions set forth in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the Ancillary Agreements is void or unenforceable for any reason, or (c) the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void or unenforceable for any reason.</w:t>
      </w:r>
    </w:p>
    <w:p>
      <w:pPr>
        <w:spacing w:after="0" w:line="224"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The remedies provided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cumulative and, subject to the provisions of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7.01</w:t>
      </w:r>
      <w:r>
        <w:rPr>
          <w:rFonts w:ascii="Arial" w:cs="Arial" w:eastAsia="Arial" w:hAnsi="Arial"/>
          <w:sz w:val="16"/>
          <w:szCs w:val="16"/>
          <w:color w:val="auto"/>
        </w:rPr>
        <w:t>, shall not preclude assertion by any Indemnitee of any other rights or the seeking of any and all other remedies against any Indemnifying Party.</w:t>
      </w:r>
    </w:p>
    <w:p>
      <w:pPr>
        <w:spacing w:after="0" w:line="136"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Survival of Indemnities</w:t>
      </w:r>
      <w:r>
        <w:rPr>
          <w:rFonts w:ascii="Arial" w:cs="Arial" w:eastAsia="Arial" w:hAnsi="Arial"/>
          <w:sz w:val="17"/>
          <w:szCs w:val="17"/>
          <w:color w:val="auto"/>
        </w:rPr>
        <w:t xml:space="preserve">. The rights and obligations of each of the Parties and their respective Indemnitees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 the sale or other transfer by either Party or any of its respective Subsidiaries of any assets or businesses or the assignment by it of any Liabilities; or (b) any merger, consolidation, business combination, sale of all or substantially all of the Assets, restructuring, recapitalization, reorganization or similar transaction involving either Party or any of its respective Subsidiaries.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CERTAIN OTHER MATTERS</w:t>
      </w:r>
    </w:p>
    <w:p>
      <w:pPr>
        <w:spacing w:after="0" w:line="224"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No Right to Use Regulatory Information</w:t>
      </w:r>
      <w:r>
        <w:rPr>
          <w:rFonts w:ascii="Arial" w:cs="Arial" w:eastAsia="Arial" w:hAnsi="Arial"/>
          <w:sz w:val="17"/>
          <w:szCs w:val="17"/>
          <w:color w:val="auto"/>
        </w:rPr>
        <w:t xml:space="preserve">. Except as otherwise set forth 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or provided in the Manufacture and Supply Agreements, the Special Products Master Agreement, the U.S. Transition Services Agreement or any International Transition Period Agreement: (a) none of Abbott or any of the Abbott Subsidiaries shall have a right of reference to or otherwise be entitled to use the regulatory filings, drug master file, or other regulatory information related to any Exclusive AbbVie Products; and (b) none of AbbVie or any of the AbbVie Subsidiaries shall have a right of reference to or otherwise be entitled to use the regulatory filings, drug master file, or other regulatory information owned or controlled by Abbott or any of the Abbott Subsidiaries for any products in the Abbott Business.</w:t>
      </w:r>
    </w:p>
    <w:p>
      <w:pPr>
        <w:spacing w:after="0" w:line="1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6"/>
          <w:szCs w:val="16"/>
          <w:u w:val="single" w:color="auto"/>
          <w:color w:val="auto"/>
        </w:rPr>
        <w:t>Directors and Officers Insurance; Fiduciary Liability Insurance.</w:t>
      </w:r>
    </w:p>
    <w:p>
      <w:pPr>
        <w:spacing w:after="0" w:line="224" w:lineRule="exact"/>
        <w:rPr>
          <w:sz w:val="20"/>
          <w:szCs w:val="20"/>
          <w:color w:val="auto"/>
        </w:rPr>
      </w:pPr>
    </w:p>
    <w:p>
      <w:pPr>
        <w:ind w:right="20" w:firstLine="1263"/>
        <w:spacing w:after="0" w:line="261" w:lineRule="auto"/>
        <w:tabs>
          <w:tab w:leader="none" w:pos="18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Prior to the Effective Time, Abbott shall obtain and fully pay for a directors and officers liability run-off insurance policy, for claims made after the Effective Time covering wrongful acts that have occurred prior to the Effective Time and arising out of or relating to AbbVie and the AbbVie Subsidiaries and the AbbVie Business (as the AbbVie Business exists as of immediately after the Effective Time), with a policy period of at least six (6) years from and after the Effective Time, covering (i) any Persons who, as of or at any time prior to the Effective Time, are or have been directors or officers of Abbott or the Abbott Subsidiaries; (ii) any Persons who, as of or at any time prior to the Effective Time, are or have been directors or officers of AbbVie or the AbbVie Subsidiaries; and (iii) Abbott and the Abbott Subsidiaries and AbbVie and the AbbVie Subsidiaries and the AbbVie Business (as the AbbVie Business exists as of immediately after the Effective Time). Such directors and officers liability run-off insurance policy shall be consistent in all material respects with the directors and officers liability insurance policy maintained by Abbott as of the Effective Time (except for the policy period and provisions excluding coverage for wrongful acts occurring after the Effective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77" w:lineRule="auto"/>
        <w:tabs>
          <w:tab w:leader="none" w:pos="1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Prior to the Effective Time, Abbott shall obtain and fully pay for a fiduciary liability run-off insurance policy, for claims made after the Effective Time covering wrongful acts that have occurred prior to the Effective Time and arising out of or relating to AbbVie and the AbbVie Subsidiaries and the AbbVie Business (as the AbbVie Business exists as of immediately after the Effective Time), with a policy period of at least six (6) years from and after the Effective Time, covering (i) any Persons who, as of or at any time prior to the Effective Time, are or have been fiduciaries of Abbott or the Abbott Subsidiaries;</w:t>
      </w:r>
    </w:p>
    <w:p>
      <w:pPr>
        <w:spacing w:after="0" w:line="1" w:lineRule="exact"/>
        <w:rPr>
          <w:rFonts w:ascii="Arial" w:cs="Arial" w:eastAsia="Arial" w:hAnsi="Arial"/>
          <w:sz w:val="16"/>
          <w:szCs w:val="16"/>
          <w:color w:val="auto"/>
        </w:rPr>
      </w:pPr>
    </w:p>
    <w:p>
      <w:pPr>
        <w:ind w:right="100" w:firstLine="5"/>
        <w:spacing w:after="0" w:line="261" w:lineRule="auto"/>
        <w:tabs>
          <w:tab w:leader="none" w:pos="257"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Persons who, as of or at any time prior to the Effective Time, are or have been fiduciaries of AbbVie or the AbbVie Subsidiaries or the AbbVie Business (as the AbbVie Business exists as of immediately after the Effective Time); and (iii) Abbott and the Abbott Subsidiaries and AbbVie and the AbbVie Subsidiaries and the AbbVie Business (as the AbbVie Business exists as of immediately after the Effective Time). Such fiduciary liability run-off insurance policy shall be consistent in all material respects with the fiduciary liability insurance policy maintained by Abbott as of the Effective Time (except for the policy period and provisions excluding coverage for wrongful acts occurring after the Effective Time).</w:t>
      </w:r>
    </w:p>
    <w:p>
      <w:pPr>
        <w:spacing w:after="0" w:line="18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5.03.</w:t>
      </w:r>
      <w:r>
        <w:rPr>
          <w:sz w:val="20"/>
          <w:szCs w:val="20"/>
          <w:color w:val="auto"/>
        </w:rPr>
        <w:tab/>
      </w:r>
      <w:r>
        <w:rPr>
          <w:rFonts w:ascii="Arial" w:cs="Arial" w:eastAsia="Arial" w:hAnsi="Arial"/>
          <w:sz w:val="15"/>
          <w:szCs w:val="15"/>
          <w:u w:val="single" w:color="auto"/>
          <w:color w:val="auto"/>
        </w:rPr>
        <w:t>Insurance Matters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8" w:lineRule="auto"/>
        <w:tabs>
          <w:tab w:leader="none" w:pos="18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AbbVie acknowledges and agrees, on its own behalf and on behalf of each of the AbbVie Subsidiaries, that, from and after the Effective Time, neither AbbVie nor any of the AbbVie Subsidiaries shall have any rights to or under any of Abbott’s or the Abbott Subsidiaries’ insurance policies, other than any insurance policies acquired prior to the Effective Time directly by and in the name of a member of AbbVie or any of the AbbVie Subsidiaries or as expressly provided in </w:t>
      </w:r>
      <w:r>
        <w:rPr>
          <w:rFonts w:ascii="Arial" w:cs="Arial" w:eastAsia="Arial" w:hAnsi="Arial"/>
          <w:sz w:val="17"/>
          <w:szCs w:val="17"/>
          <w:u w:val="single" w:color="auto"/>
          <w:color w:val="auto"/>
        </w:rPr>
        <w:t>Section 4.06(f)</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or in the Employee Matters Agreement.</w:t>
      </w:r>
    </w:p>
    <w:p>
      <w:pPr>
        <w:spacing w:after="0" w:line="175" w:lineRule="exact"/>
        <w:rPr>
          <w:rFonts w:ascii="Arial" w:cs="Arial" w:eastAsia="Arial" w:hAnsi="Arial"/>
          <w:sz w:val="17"/>
          <w:szCs w:val="17"/>
          <w:color w:val="auto"/>
        </w:rPr>
      </w:pPr>
    </w:p>
    <w:p>
      <w:pPr>
        <w:ind w:firstLine="1263"/>
        <w:spacing w:after="0" w:line="314" w:lineRule="auto"/>
        <w:tabs>
          <w:tab w:leader="none" w:pos="1895"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5.03(a)</w:t>
      </w:r>
      <w:r>
        <w:rPr>
          <w:rFonts w:ascii="Arial" w:cs="Arial" w:eastAsia="Arial" w:hAnsi="Arial"/>
          <w:sz w:val="15"/>
          <w:szCs w:val="15"/>
          <w:color w:val="auto"/>
        </w:rPr>
        <w:t>, from and after the Effective Time, with respect to any Liability incurred by AbbVie or any of the AbbVie Subsidiaries prior to the Effective Time, Abbott shall provide AbbVie with access to, and AbbVie may make claims under insurance policies purchased by Abbott if and to the extent that the terms of such policies provide such coverage to AbbVie or the AbbVie Subsidiaries, and subject to the terms and conditions of such insurance policies, including any limits on coverage or scope, any deductibles and other fees and expenses, and subject to the following additional conditions:</w:t>
      </w:r>
    </w:p>
    <w:p>
      <w:pPr>
        <w:spacing w:after="0" w:line="146" w:lineRule="exact"/>
        <w:rPr>
          <w:rFonts w:ascii="Arial" w:cs="Arial" w:eastAsia="Arial" w:hAnsi="Arial"/>
          <w:sz w:val="15"/>
          <w:szCs w:val="15"/>
          <w:color w:val="auto"/>
        </w:rPr>
      </w:pPr>
    </w:p>
    <w:p>
      <w:pPr>
        <w:jc w:val="both"/>
        <w:ind w:right="180" w:firstLine="1893"/>
        <w:spacing w:after="0" w:line="360" w:lineRule="auto"/>
        <w:tabs>
          <w:tab w:leader="none" w:pos="2538" w:val="left"/>
        </w:tabs>
        <w:numPr>
          <w:ilvl w:val="1"/>
          <w:numId w:val="78"/>
        </w:numPr>
        <w:rPr>
          <w:rFonts w:ascii="Arial" w:cs="Arial" w:eastAsia="Arial" w:hAnsi="Arial"/>
          <w:sz w:val="15"/>
          <w:szCs w:val="15"/>
          <w:color w:val="auto"/>
        </w:rPr>
      </w:pPr>
      <w:r>
        <w:rPr>
          <w:rFonts w:ascii="Arial" w:cs="Arial" w:eastAsia="Arial" w:hAnsi="Arial"/>
          <w:sz w:val="15"/>
          <w:szCs w:val="15"/>
          <w:color w:val="auto"/>
        </w:rPr>
        <w:t>AbbVie shall report claims under such policies directly to the applicable insurance company, as promptly as practicable, and shall provide a copy of all such claim reports to the Corporate Risk Management Department of Abbott, and if Abbott disagrees with any matter covered in such</w:t>
      </w:r>
    </w:p>
    <w:p>
      <w:pPr>
        <w:sectPr>
          <w:pgSz w:w="11900" w:h="16838" w:orient="portrait"/>
          <w:cols w:equalWidth="0" w:num="1">
            <w:col w:w="11400"/>
          </w:cols>
          <w:pgMar w:left="240" w:top="127" w:right="259" w:bottom="0" w:gutter="0" w:footer="0" w:header="0"/>
        </w:sectPr>
      </w:pPr>
    </w:p>
    <w:bookmarkStart w:id="32" w:name="page33"/>
    <w:bookmarkEnd w:id="32"/>
    <w:p>
      <w:pPr>
        <w:ind w:right="100"/>
        <w:spacing w:after="0" w:line="289" w:lineRule="auto"/>
        <w:rPr>
          <w:sz w:val="20"/>
          <w:szCs w:val="20"/>
          <w:color w:val="auto"/>
        </w:rPr>
      </w:pPr>
      <w:r>
        <w:rPr>
          <w:rFonts w:ascii="Arial" w:cs="Arial" w:eastAsia="Arial" w:hAnsi="Arial"/>
          <w:sz w:val="17"/>
          <w:szCs w:val="17"/>
          <w:color w:val="auto"/>
        </w:rPr>
        <w:t>reports, Abbott may notify the applicable insurance company, and shall provide a copy of such communication to the Corporate Risk Management Department of AbbVie;</w:t>
      </w:r>
    </w:p>
    <w:p>
      <w:pPr>
        <w:spacing w:after="0" w:line="158" w:lineRule="exact"/>
        <w:rPr>
          <w:sz w:val="20"/>
          <w:szCs w:val="20"/>
          <w:color w:val="auto"/>
        </w:rPr>
      </w:pPr>
    </w:p>
    <w:p>
      <w:pPr>
        <w:jc w:val="both"/>
        <w:ind w:right="220" w:firstLine="1893"/>
        <w:spacing w:after="0" w:line="268" w:lineRule="auto"/>
        <w:tabs>
          <w:tab w:leader="none" w:pos="2547"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AbbVie shall exclusively bear and be responsible for (and Abbott shall have no obligation to repay or reimburse AbbVie or any of the AbbVie Subsidiaries for) and pay the applicable insurers as required under the applicable insurance policies for any and all costs as a result of having access to, or making claims under, any insurance provided pursuant to this </w:t>
      </w:r>
      <w:r>
        <w:rPr>
          <w:rFonts w:ascii="Arial" w:cs="Arial" w:eastAsia="Arial" w:hAnsi="Arial"/>
          <w:sz w:val="17"/>
          <w:szCs w:val="17"/>
          <w:u w:val="single" w:color="auto"/>
          <w:color w:val="auto"/>
        </w:rPr>
        <w:t>Section 5.03(b)</w:t>
      </w:r>
      <w:r>
        <w:rPr>
          <w:rFonts w:ascii="Arial" w:cs="Arial" w:eastAsia="Arial" w:hAnsi="Arial"/>
          <w:sz w:val="17"/>
          <w:szCs w:val="17"/>
          <w:color w:val="auto"/>
        </w:rPr>
        <w:t>, including any deductibles and self-insured retention associated with such claims, retrospective, retroactive or prospective premium adjustments associated with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 xml:space="preserve">applicable insurance policies, catastrophic coverage charges, overhead, claim handling and administrative costs, Taxes, surcharges, state assessments, reinsurance costs, other related costs and claim payments, relating to all open, closed, re-opened claims covered by the applicable policies, whether such claims are made by AbbVie, its employees or Third Parties, and AbbVie shall indemnify, hold harmless and reimburse Abbott and the Abbott Subsidiaries for any deductibles and self-insured retention incurred by Abbott or the Abbott Subsidiaries to the extent resulting from any access to, any claims made by AbbVie or any of the AbbVie Subsidiaries under, any insurance provided pursuant to this </w:t>
      </w:r>
      <w:r>
        <w:rPr>
          <w:rFonts w:ascii="Arial" w:cs="Arial" w:eastAsia="Arial" w:hAnsi="Arial"/>
          <w:sz w:val="15"/>
          <w:szCs w:val="15"/>
          <w:u w:val="single" w:color="auto"/>
          <w:color w:val="auto"/>
        </w:rPr>
        <w:t>Section 5.03(b)</w:t>
      </w:r>
      <w:r>
        <w:rPr>
          <w:rFonts w:ascii="Arial" w:cs="Arial" w:eastAsia="Arial" w:hAnsi="Arial"/>
          <w:sz w:val="15"/>
          <w:szCs w:val="15"/>
          <w:color w:val="auto"/>
        </w:rPr>
        <w:t>, including any indemnity payments, settlements, judgments, legal fees and allocated claims expenses and claim handling fees, whether such claims are made by AbbVie, any AbbVie Subsidiary, their respective employees or Third Parties;</w:t>
      </w:r>
    </w:p>
    <w:p>
      <w:pPr>
        <w:spacing w:after="0" w:line="153" w:lineRule="exact"/>
        <w:rPr>
          <w:sz w:val="20"/>
          <w:szCs w:val="20"/>
          <w:color w:val="auto"/>
        </w:rPr>
      </w:pPr>
    </w:p>
    <w:p>
      <w:pPr>
        <w:ind w:right="240" w:firstLine="1893"/>
        <w:spacing w:after="0" w:line="273" w:lineRule="auto"/>
        <w:tabs>
          <w:tab w:leader="none" w:pos="2556"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AbbVie shall exclusively bear (and Abbott shall have no obligation to repay or reimburse AbbVie or any of the AbbVie Subsidiaries for) and shall be liable for all uninsured, uncovered, unavailable or uncollectible amounts of all such claims made by AbbVie or any of the AbbVie Subsidiaries under the policies as provided for in this </w:t>
      </w:r>
      <w:r>
        <w:rPr>
          <w:rFonts w:ascii="Arial" w:cs="Arial" w:eastAsia="Arial" w:hAnsi="Arial"/>
          <w:sz w:val="17"/>
          <w:szCs w:val="17"/>
          <w:u w:val="single" w:color="auto"/>
          <w:color w:val="auto"/>
        </w:rPr>
        <w:t>Section 5.03(b)</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right="160" w:firstLine="1893"/>
        <w:spacing w:after="0" w:line="285" w:lineRule="auto"/>
        <w:tabs>
          <w:tab w:leader="none" w:pos="253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Neither AbbVie nor any AbbVie Subsidiary, in connection with making a claim under any insurance policy of Abbott or any Abbott Subsidiary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shall take any action that would be reasonably likely to: (A) have an adverse impact on the then-current relationship between Abbott or any Abbott Subsidiary, on the one hand, and the applicable insurance company, on the other hand; (B) result in the applicable insurance company terminating or reducing coverage, or increasing the amount of any premium owed by Abbott or any Abbott Subsidiary under the applicable insurance policy; or (C) otherwise compromise, jeopardize or interfere with the rights of Abbott or any Abbott Subsidiary under the applicable insurance policy.</w:t>
      </w:r>
    </w:p>
    <w:p>
      <w:pPr>
        <w:spacing w:after="0" w:line="166"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At all times, the Parties shall, and shall cause their respective Subsidiaries to, cooperate with reasonable requests for information by the other Party or the insurance companies regarding any such insurance policy claim.</w:t>
      </w:r>
    </w:p>
    <w:p>
      <w:pPr>
        <w:spacing w:after="0" w:line="158" w:lineRule="exact"/>
        <w:rPr>
          <w:sz w:val="20"/>
          <w:szCs w:val="20"/>
          <w:color w:val="auto"/>
        </w:rPr>
      </w:pPr>
    </w:p>
    <w:p>
      <w:pPr>
        <w:ind w:right="20" w:firstLine="1263"/>
        <w:spacing w:after="0" w:line="268" w:lineRule="auto"/>
        <w:tabs>
          <w:tab w:leader="none" w:pos="1898"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Any payments, costs and adjustments required pursuant to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be billed by Abbott, on behalf of itself and the Abbott Subsidiaries, to AbbVie on a monthly basis and AbbVie, on behalf of itself and the AbbVie Subsidiaries, shall pay such payments, costs and adjustments to Abbott within sixty (60) days from receipt of invoice. If Abbott incurs costs to enforce AbbVie’s obligations under this </w:t>
      </w:r>
      <w:r>
        <w:rPr>
          <w:rFonts w:ascii="Arial" w:cs="Arial" w:eastAsia="Arial" w:hAnsi="Arial"/>
          <w:sz w:val="17"/>
          <w:szCs w:val="17"/>
          <w:u w:val="single" w:color="auto"/>
          <w:color w:val="auto"/>
        </w:rPr>
        <w:t>Section 5.03</w:t>
      </w:r>
      <w:r>
        <w:rPr>
          <w:rFonts w:ascii="Arial" w:cs="Arial" w:eastAsia="Arial" w:hAnsi="Arial"/>
          <w:sz w:val="17"/>
          <w:szCs w:val="17"/>
          <w:color w:val="auto"/>
        </w:rPr>
        <w:t>, AbbVie agrees to indemnify Abbott for such enforcement costs, including reasonable attorneys’ fees.</w:t>
      </w:r>
    </w:p>
    <w:p>
      <w:pPr>
        <w:spacing w:after="0" w:line="175" w:lineRule="exact"/>
        <w:rPr>
          <w:rFonts w:ascii="Arial" w:cs="Arial" w:eastAsia="Arial" w:hAnsi="Arial"/>
          <w:sz w:val="17"/>
          <w:szCs w:val="17"/>
          <w:color w:val="auto"/>
        </w:rPr>
      </w:pPr>
    </w:p>
    <w:p>
      <w:pPr>
        <w:ind w:right="20" w:firstLine="1263"/>
        <w:spacing w:after="0" w:line="265" w:lineRule="auto"/>
        <w:tabs>
          <w:tab w:leader="none" w:pos="18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the Effective Time, AbbVie shall have in effect all insurance programs required to comply with AbbVie’s statutory and contractual obligations and such other insurance policies as reasonably necessary or customary for companies operating a business similar to the AbbVie Business. Such insurance programs include general liability, commercial auto liability, workers’ compensation, employers liability, product liability, professional services liability, property, cargo, employment practices liability, employee dishonesty/crime, aircraft hull and liability, directors’ and officers’ liability, fiduciary liability and special accident.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305" w:lineRule="auto"/>
        <w:tabs>
          <w:tab w:leader="none" w:pos="1898" w:val="left"/>
        </w:tabs>
        <w:numPr>
          <w:ilvl w:val="0"/>
          <w:numId w:val="82"/>
        </w:numPr>
        <w:rPr>
          <w:rFonts w:ascii="Arial" w:cs="Arial" w:eastAsia="Arial" w:hAnsi="Arial"/>
          <w:sz w:val="15"/>
          <w:szCs w:val="15"/>
          <w:color w:val="auto"/>
        </w:rPr>
      </w:pPr>
      <w:r>
        <w:rPr>
          <w:rFonts w:ascii="Arial" w:cs="Arial" w:eastAsia="Arial" w:hAnsi="Arial"/>
          <w:sz w:val="15"/>
          <w:szCs w:val="15"/>
          <w:color w:val="auto"/>
        </w:rPr>
        <w:t>AbbVie agrees, on its own behalf and on behalf of the AbbVie Subsidiaries, that, from the Effective Time until the sixth (6th) anniversary of the Effective Time, Abbott and the Abbott Subsidiaries shall be named as additional insureds or loss payee, whichever is appropriate, under any of AbbVie’s or the AbbVie Subsidiaries’ insurance policies in respect of any Abbott Liabilities arising out of the AbbVie Business or any wrongful acts or omissions prior to the Effective Time to the extent the applicable insurance carrier permits it. AbbVie shall indemnify, hold harmless and reimburse Abbott and the Abbott Subsidiaries for any and all costs incurred by Abbott or the Abbott Subsidiaries to the extent resulting from any AbbVie’s or the AbbVie Subsidiaries’ insurance policies in which Abbott or any of the Abbott Subsidiaries are named as additional insureds, including any deductibles, self-insured retentions or uninsured losses.</w:t>
      </w:r>
    </w:p>
    <w:p>
      <w:pPr>
        <w:spacing w:after="0" w:line="153" w:lineRule="exact"/>
        <w:rPr>
          <w:rFonts w:ascii="Arial" w:cs="Arial" w:eastAsia="Arial" w:hAnsi="Arial"/>
          <w:sz w:val="15"/>
          <w:szCs w:val="15"/>
          <w:color w:val="auto"/>
        </w:rPr>
      </w:pPr>
    </w:p>
    <w:p>
      <w:pPr>
        <w:ind w:firstLine="1263"/>
        <w:spacing w:after="0" w:line="273" w:lineRule="auto"/>
        <w:tabs>
          <w:tab w:leader="none" w:pos="189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4.06(e)</w:t>
      </w:r>
      <w:r>
        <w:rPr>
          <w:rFonts w:ascii="Arial" w:cs="Arial" w:eastAsia="Arial" w:hAnsi="Arial"/>
          <w:sz w:val="17"/>
          <w:szCs w:val="17"/>
          <w:color w:val="auto"/>
        </w:rPr>
        <w:t>, neither Abbott nor any of the Abbott Subsidiaries shall have any obligation to secure extended reporting for any claims under any of Abbott’s or the Abbott Subsidiaries’ claims-made or occurrence-reported liability policies for any acts or omissions by AbbVie or any AbbVie Subsidiary incurred prior to the Effective Time.</w:t>
      </w:r>
    </w:p>
    <w:p>
      <w:pPr>
        <w:spacing w:after="0" w:line="171" w:lineRule="exact"/>
        <w:rPr>
          <w:rFonts w:ascii="Arial" w:cs="Arial" w:eastAsia="Arial" w:hAnsi="Arial"/>
          <w:sz w:val="17"/>
          <w:szCs w:val="17"/>
          <w:color w:val="auto"/>
        </w:rPr>
      </w:pPr>
    </w:p>
    <w:p>
      <w:pPr>
        <w:jc w:val="both"/>
        <w:ind w:right="200" w:firstLine="1263"/>
        <w:spacing w:after="0" w:line="273" w:lineRule="auto"/>
        <w:tabs>
          <w:tab w:leader="none" w:pos="190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Agreement shall not be considered as an attempted assignment of any policy of insurance or as a contract of insurance and shall not be construed to waive any right or remedy of either Abbott or any Abbott Subsidiary in respect of any of the Abbott insurance policies and programs or any other contract or policy of insurance.</w:t>
      </w:r>
    </w:p>
    <w:p>
      <w:pPr>
        <w:spacing w:after="0" w:line="172"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Late Payments</w:t>
      </w:r>
      <w:r>
        <w:rPr>
          <w:rFonts w:ascii="Arial" w:cs="Arial" w:eastAsia="Arial" w:hAnsi="Arial"/>
          <w:sz w:val="17"/>
          <w:szCs w:val="17"/>
          <w:color w:val="auto"/>
        </w:rPr>
        <w:t>. Except as provided in any Ancillary Agreement, any amount not paid when due pursuant to this Agreement or any Ancillary Agreement (and any amounts billed or otherwise invoiced or demanded and properly payable that are not paid within sixty (60) days of the date of such bill, invoice or other demand) shall accrue interest at a rate per annum equal to the Prime Rate plus 2%.</w:t>
      </w:r>
    </w:p>
    <w:p>
      <w:pPr>
        <w:spacing w:after="0" w:line="1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Treatment of Payments for Tax Purposes</w:t>
      </w:r>
      <w:r>
        <w:rPr>
          <w:rFonts w:ascii="Arial" w:cs="Arial" w:eastAsia="Arial" w:hAnsi="Arial"/>
          <w:sz w:val="17"/>
          <w:szCs w:val="17"/>
          <w:color w:val="auto"/>
        </w:rPr>
        <w:t>. For all Tax purposes, the Parties agree to treat (i) any payment required by this Agreement (other than payments with respect to interest accruing after the Effective Time) as either a contribution by Abbott to AbbVie or a distribution by AbbVie to Abbott, as the case may be, occurring immediately prior to the Effective Time or as a payment of an assumed or retained Liability; and (ii) any payment of interest as taxable or deductible, as the case may be, to the Party entitled under this Agreement to retain such payment or required under this Agreement to make such payment, in either case except as otherwise required by applicable Law.</w:t>
      </w:r>
    </w:p>
    <w:p>
      <w:pPr>
        <w:spacing w:after="0" w:line="17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Inducement</w:t>
      </w:r>
      <w:r>
        <w:rPr>
          <w:rFonts w:ascii="Arial" w:cs="Arial" w:eastAsia="Arial" w:hAnsi="Arial"/>
          <w:sz w:val="17"/>
          <w:szCs w:val="17"/>
          <w:color w:val="auto"/>
        </w:rPr>
        <w:t xml:space="preserve">. AbbVie acknowledges and agrees that Abbott’s willingness to cause, effect and consummate the Separation and the Distribution has been conditioned upon and induced by AbbVie’s covenants and agreements in this Agreement and the Ancillary Agreements, including AbbVie’s assumption of the AbbVie Liabilities pursuant to the Separation and the provisions of this Agreement and AbbVie’s covenants and agreements contained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ectPr>
          <w:pgSz w:w="11900" w:h="16838" w:orient="portrait"/>
          <w:cols w:equalWidth="0" w:num="1">
            <w:col w:w="11400"/>
          </w:cols>
          <w:pgMar w:left="240" w:top="127" w:right="259" w:bottom="40" w:gutter="0" w:footer="0" w:header="0"/>
        </w:sectPr>
      </w:pPr>
    </w:p>
    <w:bookmarkStart w:id="33" w:name="page34"/>
    <w:bookmarkEnd w:id="33"/>
    <w:p>
      <w:pPr>
        <w:ind w:right="400" w:firstLine="629"/>
        <w:spacing w:after="0" w:line="28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Post-Effective Time Conduct</w:t>
      </w:r>
      <w:r>
        <w:rPr>
          <w:rFonts w:ascii="Arial" w:cs="Arial" w:eastAsia="Arial" w:hAnsi="Arial"/>
          <w:sz w:val="17"/>
          <w:szCs w:val="17"/>
          <w:color w:val="auto"/>
        </w:rPr>
        <w:t>. The Parties acknowledge that, after the Effective Time, each Party shall be independent of the other Party, with responsibility for its own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actions and inactions and its own Liabilities relating to, arising out of or resulting from the conduct of its business, operations and activities following the Effective Time, except as may otherwise be provided in any Ancillary Agreement, and each Party shall (except as otherwise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Sections 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4.03</w:t>
      </w:r>
      <w:r>
        <w:rPr>
          <w:rFonts w:ascii="Arial" w:cs="Arial" w:eastAsia="Arial" w:hAnsi="Arial"/>
          <w:sz w:val="17"/>
          <w:szCs w:val="17"/>
          <w:color w:val="auto"/>
        </w:rPr>
        <w:t>) use commercially reasonable efforts to prevent such Liabilities from being inappropriately borne by the other Party.</w:t>
      </w:r>
    </w:p>
    <w:p>
      <w:pPr>
        <w:spacing w:after="0" w:line="172"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Licensed Patents</w:t>
      </w:r>
      <w:r>
        <w:rPr>
          <w:rFonts w:ascii="Arial" w:cs="Arial" w:eastAsia="Arial" w:hAnsi="Arial"/>
          <w:sz w:val="17"/>
          <w:szCs w:val="17"/>
          <w:color w:val="auto"/>
        </w:rPr>
        <w:t>. The Parties have determined that certain patents will need to be used by both Parties after the Separation and therefore wish to establish license terms with respect to such patents.</w:t>
      </w:r>
    </w:p>
    <w:p>
      <w:pPr>
        <w:spacing w:after="0" w:line="158" w:lineRule="exact"/>
        <w:rPr>
          <w:sz w:val="20"/>
          <w:szCs w:val="20"/>
          <w:color w:val="auto"/>
        </w:rPr>
      </w:pPr>
    </w:p>
    <w:p>
      <w:pPr>
        <w:ind w:right="160" w:firstLine="1263"/>
        <w:spacing w:after="0" w:line="273" w:lineRule="auto"/>
        <w:tabs>
          <w:tab w:leader="none" w:pos="1885"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Grant of Rights to Licensee</w:t>
      </w:r>
      <w:r>
        <w:rPr>
          <w:rFonts w:ascii="Arial" w:cs="Arial" w:eastAsia="Arial" w:hAnsi="Arial"/>
          <w:sz w:val="17"/>
          <w:szCs w:val="17"/>
          <w:color w:val="auto"/>
        </w:rPr>
        <w:t>. Subject to the terms of the applicable section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5.08(a)(i)</w:t>
      </w:r>
      <w:r>
        <w:rPr>
          <w:rFonts w:ascii="Arial" w:cs="Arial" w:eastAsia="Arial" w:hAnsi="Arial"/>
          <w:sz w:val="17"/>
          <w:szCs w:val="17"/>
          <w:i w:val="1"/>
          <w:iCs w:val="1"/>
          <w:color w:val="auto"/>
        </w:rPr>
        <w:t xml:space="preserve"> </w:t>
      </w:r>
      <w:r>
        <w:rPr>
          <w:rFonts w:ascii="Arial" w:cs="Arial" w:eastAsia="Arial" w:hAnsi="Arial"/>
          <w:sz w:val="17"/>
          <w:szCs w:val="17"/>
          <w:color w:val="auto"/>
        </w:rPr>
        <w:t>through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5.08(v)</w:t>
      </w:r>
      <w:r>
        <w:rPr>
          <w:rFonts w:ascii="Arial" w:cs="Arial" w:eastAsia="Arial" w:hAnsi="Arial"/>
          <w:sz w:val="17"/>
          <w:szCs w:val="17"/>
          <w:i w:val="1"/>
          <w:iCs w:val="1"/>
          <w:color w:val="auto"/>
        </w:rPr>
        <w:t xml:space="preserve"> </w:t>
      </w:r>
      <w:r>
        <w:rPr>
          <w:rFonts w:ascii="Arial" w:cs="Arial" w:eastAsia="Arial" w:hAnsi="Arial"/>
          <w:sz w:val="17"/>
          <w:szCs w:val="17"/>
          <w:color w:val="auto"/>
        </w:rPr>
        <w:t>(each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of Licensed Patents set forth on each of </w:t>
      </w:r>
      <w:r>
        <w:rPr>
          <w:rFonts w:ascii="Arial" w:cs="Arial" w:eastAsia="Arial" w:hAnsi="Arial"/>
          <w:sz w:val="17"/>
          <w:szCs w:val="17"/>
          <w:u w:val="single" w:color="auto"/>
          <w:color w:val="auto"/>
        </w:rPr>
        <w:t>Schedule 5.08(a)(i)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Schedule 5.08(v)</w:t>
      </w:r>
      <w:r>
        <w:rPr>
          <w:rFonts w:ascii="Arial" w:cs="Arial" w:eastAsia="Arial" w:hAnsi="Arial"/>
          <w:sz w:val="17"/>
          <w:szCs w:val="17"/>
          <w:color w:val="auto"/>
        </w:rPr>
        <w:t>, a “</w:t>
      </w:r>
      <w:r>
        <w:rPr>
          <w:rFonts w:ascii="Arial" w:cs="Arial" w:eastAsia="Arial" w:hAnsi="Arial"/>
          <w:sz w:val="17"/>
          <w:szCs w:val="17"/>
          <w:u w:val="single" w:color="auto"/>
          <w:color w:val="auto"/>
        </w:rPr>
        <w:t>Licensed Patent Schedule</w:t>
      </w:r>
      <w:r>
        <w:rPr>
          <w:rFonts w:ascii="Arial" w:cs="Arial" w:eastAsia="Arial" w:hAnsi="Arial"/>
          <w:sz w:val="17"/>
          <w:szCs w:val="17"/>
          <w:color w:val="auto"/>
        </w:rPr>
        <w:t>”), on a Licensed Patent Schedule-by-Licensed Patent Schedule basis:</w:t>
      </w:r>
    </w:p>
    <w:p>
      <w:pPr>
        <w:spacing w:after="0" w:line="171" w:lineRule="exact"/>
        <w:rPr>
          <w:rFonts w:ascii="Arial" w:cs="Arial" w:eastAsia="Arial" w:hAnsi="Arial"/>
          <w:sz w:val="17"/>
          <w:szCs w:val="17"/>
          <w:color w:val="auto"/>
        </w:rPr>
      </w:pPr>
    </w:p>
    <w:p>
      <w:pPr>
        <w:jc w:val="both"/>
        <w:ind w:right="120" w:firstLine="1893"/>
        <w:spacing w:after="0" w:line="273" w:lineRule="auto"/>
        <w:tabs>
          <w:tab w:leader="none" w:pos="2538"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Abbott, on behalf of itself and its Affiliates, to the extent each such Affiliate has granting rights, hereby grants to AbbVie and its Affiliates a non-exclusive, perpetual, irrevocable, fully paid and royalty free right and license to make, have made, use, sell, have sold, offer for sale, or import under the Licensed Patents set forth on the applicable section of </w:t>
      </w:r>
      <w:r>
        <w:rPr>
          <w:rFonts w:ascii="Arial" w:cs="Arial" w:eastAsia="Arial" w:hAnsi="Arial"/>
          <w:sz w:val="17"/>
          <w:szCs w:val="17"/>
          <w:u w:val="single" w:color="auto"/>
          <w:color w:val="auto"/>
        </w:rPr>
        <w:t>Schedule 5.08(a)(i)</w:t>
      </w:r>
      <w:r>
        <w:rPr>
          <w:rFonts w:ascii="Arial" w:cs="Arial" w:eastAsia="Arial" w:hAnsi="Arial"/>
          <w:sz w:val="17"/>
          <w:szCs w:val="17"/>
          <w:color w:val="auto"/>
        </w:rPr>
        <w:t xml:space="preserve"> in the Territory in the Field-of-Use.</w:t>
      </w:r>
    </w:p>
    <w:p>
      <w:pPr>
        <w:spacing w:after="0" w:line="171" w:lineRule="exact"/>
        <w:rPr>
          <w:rFonts w:ascii="Arial" w:cs="Arial" w:eastAsia="Arial" w:hAnsi="Arial"/>
          <w:sz w:val="17"/>
          <w:szCs w:val="17"/>
          <w:color w:val="auto"/>
        </w:rPr>
      </w:pPr>
    </w:p>
    <w:p>
      <w:pPr>
        <w:ind w:right="100" w:firstLine="1893"/>
        <w:spacing w:after="0" w:line="273" w:lineRule="auto"/>
        <w:tabs>
          <w:tab w:leader="none" w:pos="2547"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Abbott, on behalf of itself and its Affiliates, to the extent each such Affiliate has granting rights, hereby grants to AbbVie and its Affiliates an exclusive, perpetual, irrevocable, fully paid and royalty free right and license to make, have made, use, sell, have sold, offer for sale or import under the Licensed Patents set forth on the applicable section of </w:t>
      </w:r>
      <w:r>
        <w:rPr>
          <w:rFonts w:ascii="Arial" w:cs="Arial" w:eastAsia="Arial" w:hAnsi="Arial"/>
          <w:sz w:val="17"/>
          <w:szCs w:val="17"/>
          <w:u w:val="single" w:color="auto"/>
          <w:color w:val="auto"/>
        </w:rPr>
        <w:t>Schedule 5.08(a)(ii)</w:t>
      </w:r>
      <w:r>
        <w:rPr>
          <w:rFonts w:ascii="Arial" w:cs="Arial" w:eastAsia="Arial" w:hAnsi="Arial"/>
          <w:sz w:val="17"/>
          <w:szCs w:val="17"/>
          <w:color w:val="auto"/>
        </w:rPr>
        <w:t xml:space="preserve"> in the Territory in the Field-of-Use.</w:t>
      </w:r>
    </w:p>
    <w:p>
      <w:pPr>
        <w:spacing w:after="0" w:line="171" w:lineRule="exact"/>
        <w:rPr>
          <w:rFonts w:ascii="Arial" w:cs="Arial" w:eastAsia="Arial" w:hAnsi="Arial"/>
          <w:sz w:val="17"/>
          <w:szCs w:val="17"/>
          <w:color w:val="auto"/>
        </w:rPr>
      </w:pPr>
    </w:p>
    <w:p>
      <w:pPr>
        <w:jc w:val="both"/>
        <w:ind w:right="40" w:firstLine="1893"/>
        <w:spacing w:after="0" w:line="273" w:lineRule="auto"/>
        <w:tabs>
          <w:tab w:leader="none" w:pos="2556"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Abbott, on behalf of itself and its Affiliates, to the extent each such Affiliate has granting rights, hereby grants to AbbVie and its Affiliates a co-exclusive, perpetual, irrevocable, fully paid, royalty-free right and license to make, have made, use, sell, have sold, offer for sale or import under the Licensed Patents set forth on the applicable section of </w:t>
      </w:r>
      <w:r>
        <w:rPr>
          <w:rFonts w:ascii="Arial" w:cs="Arial" w:eastAsia="Arial" w:hAnsi="Arial"/>
          <w:sz w:val="17"/>
          <w:szCs w:val="17"/>
          <w:u w:val="single" w:color="auto"/>
          <w:color w:val="auto"/>
        </w:rPr>
        <w:t>Schedule 5.08(a)(iii)</w:t>
      </w:r>
      <w:r>
        <w:rPr>
          <w:rFonts w:ascii="Arial" w:cs="Arial" w:eastAsia="Arial" w:hAnsi="Arial"/>
          <w:sz w:val="17"/>
          <w:szCs w:val="17"/>
          <w:color w:val="auto"/>
        </w:rPr>
        <w:t xml:space="preserve"> in the Territory in the Field-of-Use.</w:t>
      </w:r>
    </w:p>
    <w:p>
      <w:pPr>
        <w:spacing w:after="0" w:line="171" w:lineRule="exact"/>
        <w:rPr>
          <w:rFonts w:ascii="Arial" w:cs="Arial" w:eastAsia="Arial" w:hAnsi="Arial"/>
          <w:sz w:val="17"/>
          <w:szCs w:val="17"/>
          <w:color w:val="auto"/>
        </w:rPr>
      </w:pPr>
    </w:p>
    <w:p>
      <w:pPr>
        <w:jc w:val="both"/>
        <w:ind w:right="120" w:firstLine="1893"/>
        <w:spacing w:after="0" w:line="273" w:lineRule="auto"/>
        <w:tabs>
          <w:tab w:leader="none" w:pos="2533"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AbbVie, on behalf of itself and its Affiliates, to the extent each such Affiliate has granting rights, hereby grants to Abbott and its Affiliates a non-exclusive, perpetual, irrevocable, fully paid and royalty free right and license to make, have made, use, sell, have sold, offer for sale, or import under the Licensed Patents set forth on the applicable section of </w:t>
      </w:r>
      <w:r>
        <w:rPr>
          <w:rFonts w:ascii="Arial" w:cs="Arial" w:eastAsia="Arial" w:hAnsi="Arial"/>
          <w:sz w:val="17"/>
          <w:szCs w:val="17"/>
          <w:u w:val="single" w:color="auto"/>
          <w:color w:val="auto"/>
        </w:rPr>
        <w:t>Schedule 5.08(a)(iv)</w:t>
      </w:r>
      <w:r>
        <w:rPr>
          <w:rFonts w:ascii="Arial" w:cs="Arial" w:eastAsia="Arial" w:hAnsi="Arial"/>
          <w:sz w:val="17"/>
          <w:szCs w:val="17"/>
          <w:color w:val="auto"/>
        </w:rPr>
        <w:t xml:space="preserve"> in the Territory in the Field-of-Use.</w:t>
      </w:r>
    </w:p>
    <w:p>
      <w:pPr>
        <w:spacing w:after="0" w:line="171" w:lineRule="exact"/>
        <w:rPr>
          <w:rFonts w:ascii="Arial" w:cs="Arial" w:eastAsia="Arial" w:hAnsi="Arial"/>
          <w:sz w:val="17"/>
          <w:szCs w:val="17"/>
          <w:color w:val="auto"/>
        </w:rPr>
      </w:pPr>
    </w:p>
    <w:p>
      <w:pPr>
        <w:ind w:right="40" w:firstLine="1893"/>
        <w:spacing w:after="0" w:line="273" w:lineRule="auto"/>
        <w:tabs>
          <w:tab w:leader="none" w:pos="2524"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AbbVie, on behalf of itself and its Affiliates, to the extent each such Affiliate has granting rights, hereby grants to Abbott and its Affiliates a co-exclusive, perpetual, irrevocable, fully paid, royalty-free right and license to make, have made, use, sell, have sold, offer for sale or import under the Licensed Patents set forth on the applicable section of </w:t>
      </w:r>
      <w:r>
        <w:rPr>
          <w:rFonts w:ascii="Arial" w:cs="Arial" w:eastAsia="Arial" w:hAnsi="Arial"/>
          <w:sz w:val="17"/>
          <w:szCs w:val="17"/>
          <w:u w:val="single" w:color="auto"/>
          <w:color w:val="auto"/>
        </w:rPr>
        <w:t>Schedule 5.08(a)(v)</w:t>
      </w:r>
      <w:r>
        <w:rPr>
          <w:rFonts w:ascii="Arial" w:cs="Arial" w:eastAsia="Arial" w:hAnsi="Arial"/>
          <w:sz w:val="17"/>
          <w:szCs w:val="17"/>
          <w:color w:val="auto"/>
        </w:rPr>
        <w:t xml:space="preserve"> in the Territory in the Field-of-Use.</w:t>
      </w:r>
    </w:p>
    <w:p>
      <w:pPr>
        <w:spacing w:after="0" w:line="171" w:lineRule="exact"/>
        <w:rPr>
          <w:rFonts w:ascii="Arial" w:cs="Arial" w:eastAsia="Arial" w:hAnsi="Arial"/>
          <w:sz w:val="17"/>
          <w:szCs w:val="17"/>
          <w:color w:val="auto"/>
        </w:rPr>
      </w:pPr>
    </w:p>
    <w:p>
      <w:pPr>
        <w:ind w:right="60" w:firstLine="1263"/>
        <w:spacing w:after="0" w:line="289" w:lineRule="auto"/>
        <w:tabs>
          <w:tab w:leader="none" w:pos="1895"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Sublicense Rights</w:t>
      </w:r>
      <w:r>
        <w:rPr>
          <w:rFonts w:ascii="Arial" w:cs="Arial" w:eastAsia="Arial" w:hAnsi="Arial"/>
          <w:sz w:val="17"/>
          <w:szCs w:val="17"/>
          <w:color w:val="auto"/>
        </w:rPr>
        <w:t>. Subject to the terms of a particular Licensed Patent Schedule, Licensee or its Affiliates may grant sublicenses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licenses in </w:t>
      </w:r>
      <w:r>
        <w:rPr>
          <w:rFonts w:ascii="Arial" w:cs="Arial" w:eastAsia="Arial" w:hAnsi="Arial"/>
          <w:sz w:val="17"/>
          <w:szCs w:val="17"/>
          <w:u w:val="single" w:color="auto"/>
          <w:color w:val="auto"/>
        </w:rPr>
        <w:t>Section 5.08(a)</w:t>
      </w:r>
      <w:r>
        <w:rPr>
          <w:rFonts w:ascii="Arial" w:cs="Arial" w:eastAsia="Arial" w:hAnsi="Arial"/>
          <w:sz w:val="17"/>
          <w:szCs w:val="17"/>
          <w:color w:val="auto"/>
        </w:rPr>
        <w:t xml:space="preserve"> solely to (i) Third Parties conducting research and development for Licensee or its Affiliates,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
        <w:spacing w:after="0" w:line="280" w:lineRule="auto"/>
        <w:tabs>
          <w:tab w:leader="none" w:pos="257" w:val="left"/>
        </w:tabs>
        <w:numPr>
          <w:ilvl w:val="0"/>
          <w:numId w:val="84"/>
        </w:numPr>
        <w:rPr>
          <w:rFonts w:ascii="Arial" w:cs="Arial" w:eastAsia="Arial" w:hAnsi="Arial"/>
          <w:sz w:val="16"/>
          <w:szCs w:val="16"/>
          <w:color w:val="auto"/>
        </w:rPr>
      </w:pPr>
      <w:r>
        <w:rPr>
          <w:rFonts w:ascii="Arial" w:cs="Arial" w:eastAsia="Arial" w:hAnsi="Arial"/>
          <w:sz w:val="16"/>
          <w:szCs w:val="16"/>
          <w:color w:val="auto"/>
        </w:rPr>
        <w:t>bona fide Third Party collaborators, co-marketers, distributors or other commercial partners of Licensee or its Affiliates, in each case, only to the extent such sublicense is: (x) pursuant to a written agreement with Licensee or its Affiliates; and (y) reasonably necessary for and limited to the purpose of the research, development, collaboration, co-marketing, distribution or other similar arrangement with Licensee or its Affiliates in the applicable Field-of-Use (</w:t>
      </w:r>
      <w:r>
        <w:rPr>
          <w:rFonts w:ascii="Arial" w:cs="Arial" w:eastAsia="Arial" w:hAnsi="Arial"/>
          <w:sz w:val="16"/>
          <w:szCs w:val="16"/>
          <w:i w:val="1"/>
          <w:iCs w:val="1"/>
          <w:color w:val="auto"/>
        </w:rPr>
        <w:t>i.e.,</w:t>
      </w:r>
      <w:r>
        <w:rPr>
          <w:rFonts w:ascii="Arial" w:cs="Arial" w:eastAsia="Arial" w:hAnsi="Arial"/>
          <w:sz w:val="16"/>
          <w:szCs w:val="16"/>
          <w:color w:val="auto"/>
        </w:rPr>
        <w:t xml:space="preserve"> excluding Third Parties who have no significant relationship with Licensee or its Affiliates other than the sublicense arrangement). Licensee shall provide Notice to Licensor of each sublicense granted hereunder, and shall provide Licensor with the name and address of each sublicensee and a description of the rights granted and the territory covered by each sublicensee;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notice requirement does not apply to research agreements, clinical study agreements, investigator initiated studies, service agreements, manufacturing agreements, distribution agreements, promotion agreements and the like that may contain a limited express or implied sublicense to perform the research, study, services or other activities that are the subject of said agreement.</w:t>
      </w:r>
    </w:p>
    <w:p>
      <w:pPr>
        <w:spacing w:after="0" w:line="170" w:lineRule="exact"/>
        <w:rPr>
          <w:rFonts w:ascii="Arial" w:cs="Arial" w:eastAsia="Arial" w:hAnsi="Arial"/>
          <w:sz w:val="16"/>
          <w:szCs w:val="16"/>
          <w:color w:val="auto"/>
        </w:rPr>
      </w:pPr>
    </w:p>
    <w:p>
      <w:pPr>
        <w:ind w:firstLine="1263"/>
        <w:spacing w:after="0" w:line="279" w:lineRule="auto"/>
        <w:tabs>
          <w:tab w:leader="none" w:pos="1898"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Sale of Business</w:t>
      </w:r>
      <w:r>
        <w:rPr>
          <w:rFonts w:ascii="Arial" w:cs="Arial" w:eastAsia="Arial" w:hAnsi="Arial"/>
          <w:sz w:val="16"/>
          <w:szCs w:val="16"/>
          <w:color w:val="auto"/>
        </w:rPr>
        <w:t>. To the extent Licensee sells, divests or otherwise transfers to a Third Party an entire product line, Affiliate, division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 unit (“</w:t>
      </w:r>
      <w:r>
        <w:rPr>
          <w:rFonts w:ascii="Arial" w:cs="Arial" w:eastAsia="Arial" w:hAnsi="Arial"/>
          <w:sz w:val="16"/>
          <w:szCs w:val="16"/>
          <w:u w:val="single" w:color="auto"/>
          <w:color w:val="auto"/>
        </w:rPr>
        <w:t>Sold Business</w:t>
      </w:r>
      <w:r>
        <w:rPr>
          <w:rFonts w:ascii="Arial" w:cs="Arial" w:eastAsia="Arial" w:hAnsi="Arial"/>
          <w:sz w:val="16"/>
          <w:szCs w:val="16"/>
          <w:color w:val="auto"/>
        </w:rPr>
        <w:t xml:space="preserve">”) in a transaction that does not constitute a Change of Control of Licensee, and: (i) the activities of the Sold Business, but for the license granted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would infringe a claim of a Licensed Patent at the time of the sale or other transfer; and (ii) Licensee maintains a business that, but for the license granted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would infringe such Licensed Patent at the time of such sale, divestiture or other transfer (the “</w:t>
      </w:r>
      <w:r>
        <w:rPr>
          <w:rFonts w:ascii="Arial" w:cs="Arial" w:eastAsia="Arial" w:hAnsi="Arial"/>
          <w:sz w:val="16"/>
          <w:szCs w:val="16"/>
          <w:u w:val="single" w:color="auto"/>
          <w:color w:val="auto"/>
        </w:rPr>
        <w:t>Maintained Business</w:t>
      </w:r>
      <w:r>
        <w:rPr>
          <w:rFonts w:ascii="Arial" w:cs="Arial" w:eastAsia="Arial" w:hAnsi="Arial"/>
          <w:sz w:val="16"/>
          <w:szCs w:val="16"/>
          <w:color w:val="auto"/>
        </w:rPr>
        <w:t xml:space="preserve">”), then Licensor hereby grants to Licensee the right to grant to the Third Party acquiring such Sold Business a non-exclusive sublicense to said Licensed Patent, subject to the terms and conditions of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applicable Licensed Patent Schedule, and only to the extent the activities of the Sold Business would be infringing such Licensed Patent, but for the foregoing license, at the time of such sale, divestiture or other transfer. Upon any such sale, divesture or other transfer involving a sublicense grant as contemplated by this </w:t>
      </w:r>
      <w:r>
        <w:rPr>
          <w:rFonts w:ascii="Arial" w:cs="Arial" w:eastAsia="Arial" w:hAnsi="Arial"/>
          <w:sz w:val="16"/>
          <w:szCs w:val="16"/>
          <w:u w:val="single" w:color="auto"/>
          <w:color w:val="auto"/>
        </w:rPr>
        <w:t>Section 5.08(c)</w:t>
      </w:r>
      <w:r>
        <w:rPr>
          <w:rFonts w:ascii="Arial" w:cs="Arial" w:eastAsia="Arial" w:hAnsi="Arial"/>
          <w:sz w:val="16"/>
          <w:szCs w:val="16"/>
          <w:color w:val="auto"/>
        </w:rPr>
        <w:t xml:space="preserve">, Licensee shall provide a Notice to Licensor setting forth the name and address of each such Third Party. In the event Licensee sells, divests or otherwise transfers substantially all of the business related to such Licensed Patent, or engages in a Change of Control, then the rights of the Third Party acquiring such Sold Business will be determined in accordance with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60" w:firstLine="1263"/>
        <w:spacing w:after="0" w:line="273" w:lineRule="auto"/>
        <w:tabs>
          <w:tab w:leader="none" w:pos="1895" w:val="left"/>
        </w:tabs>
        <w:numPr>
          <w:ilvl w:val="1"/>
          <w:numId w:val="84"/>
        </w:numPr>
        <w:rPr>
          <w:rFonts w:ascii="Arial" w:cs="Arial" w:eastAsia="Arial" w:hAnsi="Arial"/>
          <w:sz w:val="17"/>
          <w:szCs w:val="17"/>
          <w:color w:val="auto"/>
        </w:rPr>
      </w:pPr>
      <w:r>
        <w:rPr>
          <w:rFonts w:ascii="Arial" w:cs="Arial" w:eastAsia="Arial" w:hAnsi="Arial"/>
          <w:sz w:val="17"/>
          <w:szCs w:val="17"/>
          <w:i w:val="1"/>
          <w:iCs w:val="1"/>
          <w:color w:val="auto"/>
        </w:rPr>
        <w:t>Obligations with Respect to Affiliates</w:t>
      </w:r>
      <w:r>
        <w:rPr>
          <w:rFonts w:ascii="Arial" w:cs="Arial" w:eastAsia="Arial" w:hAnsi="Arial"/>
          <w:sz w:val="17"/>
          <w:szCs w:val="17"/>
          <w:color w:val="auto"/>
        </w:rPr>
        <w:t>. To the extent that any Affiliate of Licensee exercises any rights or obligations of Licensee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Licensee shall ensure that such Affiliate exercises such rights and obligations in a manner consistent with, and subject to the applicable provisions of, this </w:t>
      </w:r>
      <w:r>
        <w:rPr>
          <w:rFonts w:ascii="Arial" w:cs="Arial" w:eastAsia="Arial" w:hAnsi="Arial"/>
          <w:sz w:val="17"/>
          <w:szCs w:val="17"/>
          <w:u w:val="single" w:color="auto"/>
          <w:color w:val="auto"/>
        </w:rPr>
        <w:t>Section 5.08</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80" w:firstLine="1263"/>
        <w:spacing w:after="0" w:line="283" w:lineRule="auto"/>
        <w:tabs>
          <w:tab w:leader="none" w:pos="1898"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Rights in Bankruptcy</w:t>
      </w:r>
      <w:r>
        <w:rPr>
          <w:rFonts w:ascii="Arial" w:cs="Arial" w:eastAsia="Arial" w:hAnsi="Arial"/>
          <w:sz w:val="16"/>
          <w:szCs w:val="16"/>
          <w:color w:val="auto"/>
        </w:rPr>
        <w:t>. All Licensed Patents and licenses granted under or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5.08</w:t>
      </w:r>
      <w:r>
        <w:rPr>
          <w:rFonts w:ascii="Arial" w:cs="Arial" w:eastAsia="Arial" w:hAnsi="Arial"/>
          <w:sz w:val="16"/>
          <w:szCs w:val="16"/>
          <w:i w:val="1"/>
          <w:iCs w:val="1"/>
          <w:color w:val="auto"/>
        </w:rPr>
        <w:t xml:space="preserve"> </w:t>
      </w:r>
      <w:r>
        <w:rPr>
          <w:rFonts w:ascii="Arial" w:cs="Arial" w:eastAsia="Arial" w:hAnsi="Arial"/>
          <w:sz w:val="16"/>
          <w:szCs w:val="16"/>
          <w:color w:val="auto"/>
        </w:rPr>
        <w:t>are, and shall otherwise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deemed to be, for purposes of Section 365(n) of the U.S. Bankruptcy Code or any analogous provisions in any other country or jurisdiction, licenses of rights to “intellectual property” as defined under Section 101 of the U.S. Bankruptcy Code. The Parties agree that each of them as a Licensee of such rights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as applicable,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that is not a party to such proceeding</w:t>
      </w:r>
    </w:p>
    <w:p>
      <w:pPr>
        <w:sectPr>
          <w:pgSz w:w="11900" w:h="16838" w:orient="portrait"/>
          <w:cols w:equalWidth="0" w:num="1">
            <w:col w:w="11420"/>
          </w:cols>
          <w:pgMar w:left="240" w:top="127"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4" w:name="page35"/>
    <w:bookmarkEnd w:id="34"/>
    <w:p>
      <w:pPr>
        <w:spacing w:after="0" w:line="7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shall be entitled to a complete duplicate of (or complete access to, as appropriate) any such intellectual property and all embodiments of such intellectual property, which, if not already in the non-subject Party’s possession, shall be promptly delivered to it: (i) upon the subject Party’s receipt of a Notice from the non-subject Party requesting such information, unless the Party subject to such proceeding elects to continue to perform all of its obligations under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or (ii) if not delivered under clause (i) above, following the rejection of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by or on behalf of the subject Party upon receipt of a Notice from the non-subject Party requesting such information.</w:t>
      </w:r>
    </w:p>
    <w:p>
      <w:pPr>
        <w:spacing w:after="0" w:line="179" w:lineRule="exact"/>
        <w:rPr>
          <w:sz w:val="20"/>
          <w:szCs w:val="20"/>
          <w:color w:val="auto"/>
        </w:rPr>
      </w:pPr>
    </w:p>
    <w:p>
      <w:pPr>
        <w:ind w:right="120" w:firstLine="1263"/>
        <w:spacing w:after="0" w:line="360" w:lineRule="auto"/>
        <w:tabs>
          <w:tab w:leader="none" w:pos="1892"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Prosecution, Maintenance and Enforcement of Patent Rights</w:t>
      </w:r>
      <w:r>
        <w:rPr>
          <w:rFonts w:ascii="Arial" w:cs="Arial" w:eastAsia="Arial" w:hAnsi="Arial"/>
          <w:sz w:val="15"/>
          <w:szCs w:val="15"/>
          <w:color w:val="auto"/>
        </w:rPr>
        <w:t>. Unless otherwise set forth in a Licensed Patent Schedule, Licensor shall</w:t>
      </w:r>
      <w:r>
        <w:rPr>
          <w:rFonts w:ascii="Arial" w:cs="Arial" w:eastAsia="Arial" w:hAnsi="Arial"/>
          <w:sz w:val="15"/>
          <w:szCs w:val="15"/>
          <w:i w:val="1"/>
          <w:iCs w:val="1"/>
          <w:color w:val="auto"/>
        </w:rPr>
        <w:t xml:space="preserve"> </w:t>
      </w:r>
      <w:r>
        <w:rPr>
          <w:rFonts w:ascii="Arial" w:cs="Arial" w:eastAsia="Arial" w:hAnsi="Arial"/>
          <w:sz w:val="15"/>
          <w:szCs w:val="15"/>
          <w:color w:val="auto"/>
        </w:rPr>
        <w:t>have the sole right, but not the obligation, to prepare, file, prosecute, maintain, enforce and defend the Licensed Patents at Licensor’s sole cost and expense.</w:t>
      </w:r>
    </w:p>
    <w:p>
      <w:pPr>
        <w:spacing w:after="0" w:line="111" w:lineRule="exact"/>
        <w:rPr>
          <w:rFonts w:ascii="Arial" w:cs="Arial" w:eastAsia="Arial" w:hAnsi="Arial"/>
          <w:sz w:val="15"/>
          <w:szCs w:val="15"/>
          <w:color w:val="auto"/>
        </w:rPr>
      </w:pPr>
    </w:p>
    <w:p>
      <w:pPr>
        <w:ind w:right="260" w:firstLine="1263"/>
        <w:spacing w:after="0" w:line="273" w:lineRule="auto"/>
        <w:tabs>
          <w:tab w:leader="none" w:pos="1908"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Inventor Remuneration</w:t>
      </w:r>
      <w:r>
        <w:rPr>
          <w:rFonts w:ascii="Arial" w:cs="Arial" w:eastAsia="Arial" w:hAnsi="Arial"/>
          <w:sz w:val="17"/>
          <w:szCs w:val="17"/>
          <w:color w:val="auto"/>
        </w:rPr>
        <w:t>. If, in respect of an invention underlying a Licensed Patent, any payment is owed from 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Time by Licensor or Licensee to any current or former employee who is, under the Law of any jurisdiction, entitled to such payment as a remuneration of such employee’s contribution to the invention (an “</w:t>
      </w:r>
      <w:r>
        <w:rPr>
          <w:rFonts w:ascii="Arial" w:cs="Arial" w:eastAsia="Arial" w:hAnsi="Arial"/>
          <w:sz w:val="17"/>
          <w:szCs w:val="17"/>
          <w:u w:val="single" w:color="auto"/>
          <w:color w:val="auto"/>
        </w:rPr>
        <w:t>Employee Inventor Remuneration Entitlement</w:t>
      </w:r>
      <w:r>
        <w:rPr>
          <w:rFonts w:ascii="Arial" w:cs="Arial" w:eastAsia="Arial" w:hAnsi="Arial"/>
          <w:sz w:val="17"/>
          <w:szCs w:val="17"/>
          <w:color w:val="auto"/>
        </w:rPr>
        <w:t>”), the following shall apply:</w:t>
      </w:r>
    </w:p>
    <w:p>
      <w:pPr>
        <w:spacing w:after="0" w:line="171" w:lineRule="exact"/>
        <w:rPr>
          <w:rFonts w:ascii="Arial" w:cs="Arial" w:eastAsia="Arial" w:hAnsi="Arial"/>
          <w:sz w:val="17"/>
          <w:szCs w:val="17"/>
          <w:color w:val="auto"/>
        </w:rPr>
      </w:pPr>
    </w:p>
    <w:p>
      <w:pPr>
        <w:ind w:right="100" w:firstLine="1893"/>
        <w:spacing w:after="0" w:line="280" w:lineRule="auto"/>
        <w:tabs>
          <w:tab w:leader="none" w:pos="2538"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and to the extent that the actions or events that give rise to an Employee Inventor Remuneration Entitlement are related exclusively to Licensee, Licensee shall indemnify and hold harmless Licensor from and against the Employee Inventor Remuneration Entitlements resulting from such actions or events. If and to the extent that the actions or events that give rise to an Employee Inventor Remuneration Entitlement are related exclusively to Licensor, Licensor shall indemnify and hold harmless Licensee from and against the Employee Inventor Remuneration Entitlements resulting from such actions and events. If and to the extent that the actions or events that give rise to an Employee Inventor Remuneration Entitlement are related both to Licensee and Licensor, then the Party who is not legally obligated to pay the Employee Inventor Remuneration Entitlements shall indemnify and hold harmless the other Party from and against the Employee Inventor Remuneration Entitlements resulting from such actions or events on a pro rata basis, taking into account the relative benefit from such actions and events to the Party not legally obligated to pay the Employee Inventor Remuneration Entitlements,</w:t>
      </w:r>
    </w:p>
    <w:p>
      <w:pPr>
        <w:spacing w:after="0" w:line="170" w:lineRule="exact"/>
        <w:rPr>
          <w:rFonts w:ascii="Arial" w:cs="Arial" w:eastAsia="Arial" w:hAnsi="Arial"/>
          <w:sz w:val="16"/>
          <w:szCs w:val="16"/>
          <w:color w:val="auto"/>
        </w:rPr>
      </w:pPr>
    </w:p>
    <w:p>
      <w:pPr>
        <w:ind w:right="60" w:firstLine="1893"/>
        <w:spacing w:after="0" w:line="281" w:lineRule="auto"/>
        <w:tabs>
          <w:tab w:leader="none" w:pos="2547"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the determination, adjustment, adaption or other assessment of an Employee Inventor Remuneration Entitlement is, or becomes after the Effective Time, the subject matter of: (x) any Proceeding; (y) any consultations, negotiations or agreement with the relevant employee or a body of employees; or (z) a unilateral decision of a Party (each of (x) through (z), including any appeals, a “</w:t>
      </w:r>
      <w:r>
        <w:rPr>
          <w:rFonts w:ascii="Arial" w:cs="Arial" w:eastAsia="Arial" w:hAnsi="Arial"/>
          <w:sz w:val="16"/>
          <w:szCs w:val="16"/>
          <w:u w:val="single" w:color="auto"/>
          <w:color w:val="auto"/>
        </w:rPr>
        <w:t>Remuneration Assessment</w:t>
      </w:r>
      <w:r>
        <w:rPr>
          <w:rFonts w:ascii="Arial" w:cs="Arial" w:eastAsia="Arial" w:hAnsi="Arial"/>
          <w:sz w:val="16"/>
          <w:szCs w:val="16"/>
          <w:color w:val="auto"/>
        </w:rPr>
        <w:t>”), the Parties shall cooperate with respect to such Remuneration Assessment in good faith. The Party against which a Remuneration Assessment is made shall: (A) provide Notice to the other Party about, and offer the other Party reasonable opportunity to participate in, the Remuneration Assessment; (B) take the other Party’s reasonable comments and requests into due consideration; and (C) refrain from acknowledging or settling, agreeing to or unilaterally deciding on the relevant Employee Inventor Remuneration Entitlement without the other Party’s prior written consent (which consent shall not be unreasonably delayed, conditioned or withheld).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1893"/>
        <w:spacing w:after="0" w:line="273" w:lineRule="auto"/>
        <w:tabs>
          <w:tab w:leader="none" w:pos="2556"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Party shall provide the other Party with any information about the commercial exploitation of the relevant Licensed Patent, including any payments or other economic benefits received from such exploitation, by the Party and its Subsidiaries reasonably requested by the other Party for any determination under subsections (i) and (ii) above.</w:t>
      </w:r>
    </w:p>
    <w:p>
      <w:pPr>
        <w:spacing w:after="0" w:line="171" w:lineRule="exact"/>
        <w:rPr>
          <w:rFonts w:ascii="Arial" w:cs="Arial" w:eastAsia="Arial" w:hAnsi="Arial"/>
          <w:sz w:val="17"/>
          <w:szCs w:val="17"/>
          <w:color w:val="auto"/>
        </w:rPr>
      </w:pPr>
    </w:p>
    <w:p>
      <w:pPr>
        <w:ind w:firstLine="1263"/>
        <w:spacing w:after="0" w:line="263" w:lineRule="auto"/>
        <w:tabs>
          <w:tab w:leader="none" w:pos="1895"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License Term</w:t>
      </w:r>
      <w:r>
        <w:rPr>
          <w:rFonts w:ascii="Arial" w:cs="Arial" w:eastAsia="Arial" w:hAnsi="Arial"/>
          <w:sz w:val="17"/>
          <w:szCs w:val="17"/>
          <w:color w:val="auto"/>
        </w:rPr>
        <w:t>. Each license granted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5.08</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effective as of the Effective Time and shall continue in full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force and effect until the earlier of: (i) on a Licensed Patent Schedule-by-Licensed Patent Schedule basis, the expiration of the last to expire of the Licensed Patents on such Licensed Patent Schedule; (ii) the execution and delivery by each of the Parties of a written agreement terminating such license; or (iii) with respect to any Licensed Patent Schedule, delivery of a Notice by Licensee to Licensor terminating the licenses provided for in such Licensed Patent Schedule. The provisions of </w:t>
      </w:r>
      <w:r>
        <w:rPr>
          <w:rFonts w:ascii="Arial" w:cs="Arial" w:eastAsia="Arial" w:hAnsi="Arial"/>
          <w:sz w:val="17"/>
          <w:szCs w:val="17"/>
          <w:u w:val="single" w:color="auto"/>
          <w:color w:val="auto"/>
        </w:rPr>
        <w:t>Section 5.08(e)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5.08(g)</w:t>
      </w:r>
      <w:r>
        <w:rPr>
          <w:rFonts w:ascii="Arial" w:cs="Arial" w:eastAsia="Arial" w:hAnsi="Arial"/>
          <w:sz w:val="17"/>
          <w:szCs w:val="17"/>
          <w:color w:val="auto"/>
        </w:rPr>
        <w:t xml:space="preserve"> shall survive the expiration or termination of the applicable licenses granted pursuant to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and shall remain in full force and effect thereafter.</w:t>
      </w:r>
    </w:p>
    <w:p>
      <w:pPr>
        <w:spacing w:after="0" w:line="183" w:lineRule="exact"/>
        <w:rPr>
          <w:sz w:val="20"/>
          <w:szCs w:val="20"/>
          <w:color w:val="auto"/>
        </w:rPr>
      </w:pPr>
    </w:p>
    <w:p>
      <w:pPr>
        <w:ind w:right="40" w:firstLine="629"/>
        <w:spacing w:after="0" w:line="27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Non-Compete</w:t>
      </w:r>
      <w:r>
        <w:rPr>
          <w:rFonts w:ascii="Arial" w:cs="Arial" w:eastAsia="Arial" w:hAnsi="Arial"/>
          <w:sz w:val="16"/>
          <w:szCs w:val="16"/>
          <w:color w:val="auto"/>
        </w:rPr>
        <w:t>. During the period commencing on the Distribution Date and ending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Distribution Date (or, if not enforceable for such period in any country under the antitrust/competition laws of such country, for such period as will be enforceable in such country under the antitrust/competition laws of such country) (the “</w:t>
      </w:r>
      <w:r>
        <w:rPr>
          <w:rFonts w:ascii="Arial" w:cs="Arial" w:eastAsia="Arial" w:hAnsi="Arial"/>
          <w:sz w:val="16"/>
          <w:szCs w:val="16"/>
          <w:u w:val="single" w:color="auto"/>
          <w:color w:val="auto"/>
        </w:rPr>
        <w:t>Non-Compete Period</w:t>
      </w:r>
      <w:r>
        <w:rPr>
          <w:rFonts w:ascii="Arial" w:cs="Arial" w:eastAsia="Arial" w:hAnsi="Arial"/>
          <w:sz w:val="16"/>
          <w:szCs w:val="16"/>
          <w:color w:val="auto"/>
        </w:rPr>
        <w:t>”), except as otherwise expressly contemplated in this Agreement or the International Transition Period Agreements, Abbott and the Abbott Subsidiaries shall not, directly or indirectly, engage in the business of discovering, researching, developing, importing, exporting, manufacturing, marketing, distributing, promoting or selling anywhere in the world any anti-TNF antibody, JAK inhibitor or IL-12 inhibitor (the “</w:t>
      </w:r>
      <w:r>
        <w:rPr>
          <w:rFonts w:ascii="Arial" w:cs="Arial" w:eastAsia="Arial" w:hAnsi="Arial"/>
          <w:sz w:val="16"/>
          <w:szCs w:val="16"/>
          <w:u w:val="single" w:color="auto"/>
          <w:color w:val="auto"/>
        </w:rPr>
        <w:t>Competitive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shall not prevent Abbott or any of the Abbott Subsidiaries from (i) discovering, researching, developing, importing, exporting, manufacturing, marketing, distributing, promoting or selling any medical device that is sold separately by Abbott or any Abbott Subsidiary and is used in conjunction with and is ancillary to an anti-TNF antibody, JAK inhibitor or IL-12 inhibitor (e.g., a syringe), or any diagnostic product; (ii) purchasing or acquiring, or being the holder or beneficial owner for passive investment purposes of, equity securities of a Person that, directly or indirectly, engages in the Competitive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 the aggregate holdings of Abbott and the Abbott Subsidiaries of such equity securities in such Person during the Non-Compete Period shall not exceed five percent (5%) of the outstanding equity securities of such Person; or (iii) purchasing or acquiring (whether by merger, an asset, stock or equity acquisition or otherwise), and thereafter being the holder or beneficial owner of, at least a majority of the equity securities or consolidated assets of a Person that, directly or indirectly, engages in the Competitive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(iii), Abbott shall cause such Person, as promptly as practicable following such purchase or acquisition (and in no event later than 12 months after such purchase or acquisition), to cease engaging in the Competitive Business during the Non-Compete Period, whether by divestiture or otherwise, for as long as such Person shall remain an Abbott Subsidiary.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EXCHANGE OF INFORMATION; CONFIDENTIALITY</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6"/>
          <w:szCs w:val="16"/>
          <w:u w:val="single" w:color="auto"/>
          <w:color w:val="auto"/>
        </w:rPr>
        <w:t>Agreement for Exchange of Information; Archives</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314" w:lineRule="auto"/>
        <w:tabs>
          <w:tab w:leader="none" w:pos="1885"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Exchange of Information</w:t>
      </w:r>
      <w:r>
        <w:rPr>
          <w:rFonts w:ascii="Arial" w:cs="Arial" w:eastAsia="Arial" w:hAnsi="Arial"/>
          <w:sz w:val="15"/>
          <w:szCs w:val="15"/>
          <w:color w:val="auto"/>
        </w:rPr>
        <w:t>. Except as otherwise provided in any Ancillary Agreement, each of Abbott and AbbVie, on behalf of itself</w:t>
      </w:r>
      <w:r>
        <w:rPr>
          <w:rFonts w:ascii="Arial" w:cs="Arial" w:eastAsia="Arial" w:hAnsi="Arial"/>
          <w:sz w:val="15"/>
          <w:szCs w:val="15"/>
          <w:i w:val="1"/>
          <w:iCs w:val="1"/>
          <w:color w:val="auto"/>
        </w:rPr>
        <w:t xml:space="preserve"> </w:t>
      </w:r>
      <w:r>
        <w:rPr>
          <w:rFonts w:ascii="Arial" w:cs="Arial" w:eastAsia="Arial" w:hAnsi="Arial"/>
          <w:sz w:val="15"/>
          <w:szCs w:val="15"/>
          <w:color w:val="auto"/>
        </w:rPr>
        <w:t>and its respective Subsidiaries and Affiliates,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its Subsidiaries to the extent that (i) such Information relates to the AbbVie Business, or any AbbVie</w:t>
      </w:r>
    </w:p>
    <w:p>
      <w:pPr>
        <w:sectPr>
          <w:pgSz w:w="11900" w:h="16909" w:orient="portrait"/>
          <w:cols w:equalWidth="0" w:num="1">
            <w:col w:w="11420"/>
          </w:cols>
          <w:pgMar w:left="240" w:top="573" w:right="239" w:bottom="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Asset or AbbVie Liability, if AbbVie is the requesting Party, or to the Abbott Business, or any Abbott Assets or Abbott Liability, if Abbott is the requesting Party;</w:t>
      </w:r>
    </w:p>
    <w:p>
      <w:pPr>
        <w:spacing w:after="0" w:line="38" w:lineRule="exact"/>
        <w:rPr>
          <w:sz w:val="20"/>
          <w:szCs w:val="20"/>
          <w:color w:val="auto"/>
        </w:rPr>
      </w:pPr>
    </w:p>
    <w:p>
      <w:pPr>
        <w:ind w:firstLine="5"/>
        <w:spacing w:after="0" w:line="279" w:lineRule="auto"/>
        <w:tabs>
          <w:tab w:leader="none" w:pos="257"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Party to whom the request has been made determines that any such provision of Information could be commercially detrimental, violate any Law or agreement, or waive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shall expand the obligations of the Parties under </w:t>
      </w:r>
      <w:r>
        <w:rPr>
          <w:rFonts w:ascii="Arial" w:cs="Arial" w:eastAsia="Arial" w:hAnsi="Arial"/>
          <w:sz w:val="16"/>
          <w:szCs w:val="16"/>
          <w:u w:val="single" w:color="auto"/>
          <w:color w:val="auto"/>
        </w:rPr>
        <w:t>Section 6.03</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100" w:firstLine="1263"/>
        <w:spacing w:after="0" w:line="300" w:lineRule="auto"/>
        <w:tabs>
          <w:tab w:leader="none" w:pos="1895" w:val="left"/>
        </w:tabs>
        <w:numPr>
          <w:ilvl w:val="1"/>
          <w:numId w:val="89"/>
        </w:numPr>
        <w:rPr>
          <w:rFonts w:ascii="Arial" w:cs="Arial" w:eastAsia="Arial" w:hAnsi="Arial"/>
          <w:sz w:val="15"/>
          <w:szCs w:val="15"/>
          <w:color w:val="auto"/>
        </w:rPr>
      </w:pPr>
      <w:r>
        <w:rPr>
          <w:rFonts w:ascii="Arial" w:cs="Arial" w:eastAsia="Arial" w:hAnsi="Arial"/>
          <w:sz w:val="15"/>
          <w:szCs w:val="15"/>
          <w:i w:val="1"/>
          <w:iCs w:val="1"/>
          <w:color w:val="auto"/>
        </w:rPr>
        <w:t>Access to Specified Information</w:t>
      </w:r>
      <w:r>
        <w:rPr>
          <w:rFonts w:ascii="Arial" w:cs="Arial" w:eastAsia="Arial" w:hAnsi="Arial"/>
          <w:sz w:val="15"/>
          <w:szCs w:val="15"/>
          <w:color w:val="auto"/>
        </w:rPr>
        <w:t>. Without limiting the generality of the foregoing, until the first AbbVie fiscal year end occurring after</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Effective Time (and for a reasonable period of time afterwards as required for each of Abbott and AbbVie to prepare consolidated financial statements or complete a financial statement audit for the fiscal year during which the Distribution Date occurs), each of Abbott and AbbVie shall use its commercially reasonable efforts to cooperate with the other Party’s Information requests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57" w:lineRule="exact"/>
        <w:rPr>
          <w:rFonts w:ascii="Arial" w:cs="Arial" w:eastAsia="Arial" w:hAnsi="Arial"/>
          <w:sz w:val="15"/>
          <w:szCs w:val="15"/>
          <w:color w:val="auto"/>
        </w:rPr>
      </w:pPr>
    </w:p>
    <w:p>
      <w:pPr>
        <w:ind w:left="1900" w:hanging="637"/>
        <w:spacing w:after="0"/>
        <w:tabs>
          <w:tab w:leader="none" w:pos="1900"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Compensation for Providing Information</w:t>
      </w:r>
      <w:r>
        <w:rPr>
          <w:rFonts w:ascii="Arial" w:cs="Arial" w:eastAsia="Arial" w:hAnsi="Arial"/>
          <w:sz w:val="16"/>
          <w:szCs w:val="16"/>
          <w:color w:val="auto"/>
        </w:rPr>
        <w:t>. The Party requesting Information agrees to reimburse the other Party for the reasonable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costs, if any, of creating,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or in any Ancillary Agreement, such costs shall be computed in accordance with the providing Party’s standard methodology and procedures.</w:t>
      </w:r>
    </w:p>
    <w:p>
      <w:pPr>
        <w:spacing w:after="0" w:line="159"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Ownership of Information</w:t>
      </w:r>
      <w:r>
        <w:rPr>
          <w:rFonts w:ascii="Arial" w:cs="Arial" w:eastAsia="Arial" w:hAnsi="Arial"/>
          <w:sz w:val="17"/>
          <w:szCs w:val="17"/>
          <w:color w:val="auto"/>
        </w:rPr>
        <w:t xml:space="preserve">. The provision of any Information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not affect the ownership of such Information (which shall be determined solely in accordance with the terms of this Agreement and the Ancillary Agreements), or constitute the grant of rights in or to any such Information.</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5"/>
          <w:szCs w:val="15"/>
          <w:u w:val="single" w:color="auto"/>
          <w:color w:val="auto"/>
        </w:rPr>
        <w:t>Stored Records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62" w:lineRule="auto"/>
        <w:tabs>
          <w:tab w:leader="none" w:pos="188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Parties agree and acknowledge that it is not practicable to separate all Tangible Information belonging to the Parties, and that following the Effective Time, each Party will have some of the Tangible Information of the other Party stored at the internal or Third Party records storage locations arranged for by Abbott’s Corporate Records or Records Information Center personnel, by the corresponding AbbVie personnel, or by the successor organizations within Abbott or AbbVie (each, a “</w:t>
      </w:r>
      <w:r>
        <w:rPr>
          <w:rFonts w:ascii="Arial" w:cs="Arial" w:eastAsia="Arial" w:hAnsi="Arial"/>
          <w:sz w:val="17"/>
          <w:szCs w:val="17"/>
          <w:u w:val="single" w:color="auto"/>
          <w:color w:val="auto"/>
        </w:rPr>
        <w:t>Records Facility</w:t>
      </w:r>
      <w:r>
        <w:rPr>
          <w:rFonts w:ascii="Arial" w:cs="Arial" w:eastAsia="Arial" w:hAnsi="Arial"/>
          <w:sz w:val="17"/>
          <w:szCs w:val="17"/>
          <w:color w:val="auto"/>
        </w:rPr>
        <w:t>”). Tangible Information held in a Records Facility maintained or arranged for by the Party other than the Party that owns such Tangible Information is referred to as “</w:t>
      </w:r>
      <w:r>
        <w:rPr>
          <w:rFonts w:ascii="Arial" w:cs="Arial" w:eastAsia="Arial" w:hAnsi="Arial"/>
          <w:sz w:val="17"/>
          <w:szCs w:val="17"/>
          <w:u w:val="single" w:color="auto"/>
          <w:color w:val="auto"/>
        </w:rPr>
        <w:t>Stored Records</w:t>
      </w:r>
      <w:r>
        <w:rPr>
          <w:rFonts w:ascii="Arial" w:cs="Arial" w:eastAsia="Arial" w:hAnsi="Arial"/>
          <w:sz w:val="17"/>
          <w:szCs w:val="17"/>
          <w:color w:val="auto"/>
        </w:rPr>
        <w:t>”. The Party that maintains the Records Facility where Stored Records are held is referred to as the “</w:t>
      </w:r>
      <w:r>
        <w:rPr>
          <w:rFonts w:ascii="Arial" w:cs="Arial" w:eastAsia="Arial" w:hAnsi="Arial"/>
          <w:sz w:val="17"/>
          <w:szCs w:val="17"/>
          <w:u w:val="single" w:color="auto"/>
          <w:color w:val="auto"/>
        </w:rPr>
        <w:t>Custodial Party</w:t>
      </w:r>
      <w:r>
        <w:rPr>
          <w:rFonts w:ascii="Arial" w:cs="Arial" w:eastAsia="Arial" w:hAnsi="Arial"/>
          <w:sz w:val="17"/>
          <w:szCs w:val="17"/>
          <w:color w:val="auto"/>
        </w:rPr>
        <w:t>” and the Party that owns the Stored Records held in the other Party’s Records Facility is referred to as the “</w:t>
      </w:r>
      <w:r>
        <w:rPr>
          <w:rFonts w:ascii="Arial" w:cs="Arial" w:eastAsia="Arial" w:hAnsi="Arial"/>
          <w:sz w:val="17"/>
          <w:szCs w:val="17"/>
          <w:u w:val="single" w:color="auto"/>
          <w:color w:val="auto"/>
        </w:rPr>
        <w:t>Non-Custodial Party</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right="120" w:firstLine="1263"/>
        <w:spacing w:after="0" w:line="265" w:lineRule="auto"/>
        <w:tabs>
          <w:tab w:leader="none" w:pos="18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Each Party shall use commercially reasonable efforts: (i) to maintain the Stored Records as to which it is the Custodial Party in accordance with its regular records retention policies and procedures and the terms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 of </w:t>
      </w:r>
      <w:r>
        <w:rPr>
          <w:rFonts w:ascii="Arial" w:cs="Arial" w:eastAsia="Arial" w:hAnsi="Arial"/>
          <w:sz w:val="17"/>
          <w:szCs w:val="17"/>
          <w:u w:val="single" w:color="auto"/>
          <w:color w:val="auto"/>
        </w:rPr>
        <w:t>Schedule 6.03</w:t>
      </w:r>
      <w:r>
        <w:rPr>
          <w:rFonts w:ascii="Arial" w:cs="Arial" w:eastAsia="Arial" w:hAnsi="Arial"/>
          <w:sz w:val="17"/>
          <w:szCs w:val="17"/>
          <w:color w:val="auto"/>
        </w:rPr>
        <w:t>; and (ii) to comply with the requirements of any “Litigation Hold” that relates to Stored Records as to which it is the Custodial Party that relate to (x) any Proceeding that is pending as of the Effective Time; or (y) any Proceeding that arises or becomes threatened or reasonably anticipated after the Effective Time as to which the Custodial Party has received a Notice of the applicable “Litigation Hold” from the Non-Custodial Party.</w:t>
      </w:r>
    </w:p>
    <w:p>
      <w:pPr>
        <w:spacing w:after="0" w:line="179" w:lineRule="exact"/>
        <w:rPr>
          <w:sz w:val="20"/>
          <w:szCs w:val="20"/>
          <w:color w:val="auto"/>
        </w:rPr>
      </w:pPr>
    </w:p>
    <w:p>
      <w:pPr>
        <w:ind w:right="220" w:firstLine="629"/>
        <w:spacing w:after="0" w:line="26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xml:space="preserve">. Neither Party shall have any Liability to the other Party in the event that any Information exchanged or provided pursuant to this Agreement is found to be inaccurate in the absence of gross negligence or willful misconduct by the Party providing such Information. Neither Party shall have any Liability to any other Party if any Information is destroyed after commercially reasonable efforts by such Party to comply with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6.05.</w:t>
      </w:r>
      <w:r>
        <w:rPr>
          <w:sz w:val="20"/>
          <w:szCs w:val="20"/>
          <w:color w:val="auto"/>
        </w:rPr>
        <w:tab/>
      </w:r>
      <w:r>
        <w:rPr>
          <w:rFonts w:ascii="Arial" w:cs="Arial" w:eastAsia="Arial" w:hAnsi="Arial"/>
          <w:sz w:val="16"/>
          <w:szCs w:val="16"/>
          <w:u w:val="single" w:color="auto"/>
          <w:color w:val="auto"/>
        </w:rPr>
        <w:t>Other Agreements Providing for Exchange of Information</w:t>
      </w:r>
      <w:r>
        <w:rPr>
          <w:rFonts w:ascii="Arial" w:cs="Arial" w:eastAsia="Arial" w:hAnsi="Arial"/>
          <w:sz w:val="16"/>
          <w:szCs w:val="16"/>
          <w:color w:val="auto"/>
        </w:rPr>
        <w:t>.</w:t>
      </w:r>
    </w:p>
    <w:p>
      <w:pPr>
        <w:spacing w:after="0" w:line="224" w:lineRule="exact"/>
        <w:rPr>
          <w:sz w:val="20"/>
          <w:szCs w:val="20"/>
          <w:color w:val="auto"/>
        </w:rPr>
      </w:pPr>
    </w:p>
    <w:p>
      <w:pPr>
        <w:ind w:right="200" w:firstLine="1263"/>
        <w:spacing w:after="0" w:line="289" w:lineRule="auto"/>
        <w:tabs>
          <w:tab w:leader="none" w:pos="188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rights and obligations set forth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are subject to any specific limitations, qualifications or additional provisions on the sharing, exchange, retention or confidential treatment of Information set forth in any Ancillary Agreement.</w:t>
      </w:r>
    </w:p>
    <w:p>
      <w:pPr>
        <w:spacing w:after="0" w:line="158" w:lineRule="exact"/>
        <w:rPr>
          <w:rFonts w:ascii="Arial" w:cs="Arial" w:eastAsia="Arial" w:hAnsi="Arial"/>
          <w:sz w:val="17"/>
          <w:szCs w:val="17"/>
          <w:color w:val="auto"/>
        </w:rPr>
      </w:pPr>
    </w:p>
    <w:p>
      <w:pPr>
        <w:ind w:right="380" w:firstLine="1263"/>
        <w:spacing w:after="0" w:line="268" w:lineRule="auto"/>
        <w:tabs>
          <w:tab w:leader="none" w:pos="189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Either Party that receives, pursuant to a request for Information in accordance with this </w:t>
      </w:r>
      <w:r>
        <w:rPr>
          <w:rFonts w:ascii="Arial" w:cs="Arial" w:eastAsia="Arial" w:hAnsi="Arial"/>
          <w:sz w:val="17"/>
          <w:szCs w:val="17"/>
          <w:u w:val="single" w:color="auto"/>
          <w:color w:val="auto"/>
        </w:rPr>
        <w:t>Article VI</w:t>
      </w:r>
      <w:r>
        <w:rPr>
          <w:rFonts w:ascii="Arial" w:cs="Arial" w:eastAsia="Arial" w:hAnsi="Arial"/>
          <w:sz w:val="17"/>
          <w:szCs w:val="17"/>
          <w:color w:val="auto"/>
        </w:rPr>
        <w:t>, Tangible Information that is not relevant to its request shall (i) return it to the providing Party or, at the providing Party’s request, destroy such Tangible Information; and (ii) deliver to the providing Party a certificate certifying that such Tangible Information was returned or destroyed, as the case may be, which certificate shall be signed by an authorized Representative of the requesting Party.</w:t>
      </w:r>
    </w:p>
    <w:p>
      <w:pPr>
        <w:spacing w:after="0" w:line="175" w:lineRule="exact"/>
        <w:rPr>
          <w:rFonts w:ascii="Arial" w:cs="Arial" w:eastAsia="Arial" w:hAnsi="Arial"/>
          <w:sz w:val="17"/>
          <w:szCs w:val="17"/>
          <w:color w:val="auto"/>
        </w:rPr>
      </w:pPr>
    </w:p>
    <w:p>
      <w:pPr>
        <w:ind w:right="40" w:firstLine="1263"/>
        <w:spacing w:after="0" w:line="262" w:lineRule="auto"/>
        <w:tabs>
          <w:tab w:leader="none" w:pos="189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When any Tangible Information provided by one Party to the other Party (other than Tangible Information provided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is no longer needed for the purposes contemplated by this Agreement or any Ancillary Agreement or is no longer required to be retained by applicable Law, the receiving Party shall promptly, after request of the other Party, either return to the other Party all Tangible Information in the form in which it was originally provided (including all copies thereof and all notes, extracts or summaries based thereon) or, if the providing Party has requested that the other Party destroy such Tangible Information, certify to the other Party that it has destroyed such Tangible Information (and such 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obligation to return or destroy such Tangible Information shall not apply to any Tangible Information solely related to the receiving Party’s business, Assets, Liabilities, operations or activities.</w:t>
      </w:r>
    </w:p>
    <w:p>
      <w:pPr>
        <w:sectPr>
          <w:pgSz w:w="11900" w:h="16838" w:orient="portrait"/>
          <w:cols w:equalWidth="0" w:num="1">
            <w:col w:w="11420"/>
          </w:cols>
          <w:pgMar w:left="240" w:top="127" w:right="239" w:bottom="75" w:gutter="0" w:footer="0" w:header="0"/>
        </w:sectPr>
      </w:pPr>
    </w:p>
    <w:bookmarkStart w:id="36" w:name="page37"/>
    <w:bookmarkEnd w:id="36"/>
    <w:p>
      <w:pPr>
        <w:ind w:right="60" w:firstLine="629"/>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 xml:space="preserve">. The Parties acknowledge that, from time to time after the Effective Time, a Party may desire cooperation, including the provision of information and witnesses in connection with a Proceeding. The Parties agree that such matters shall be addressed as set forth in </w:t>
      </w:r>
      <w:r>
        <w:rPr>
          <w:rFonts w:ascii="Arial" w:cs="Arial" w:eastAsia="Arial" w:hAnsi="Arial"/>
          <w:sz w:val="17"/>
          <w:szCs w:val="17"/>
          <w:u w:val="single" w:color="auto"/>
          <w:color w:val="auto"/>
        </w:rPr>
        <w:t>Schedule 6.06</w:t>
      </w:r>
      <w:r>
        <w:rPr>
          <w:rFonts w:ascii="Arial" w:cs="Arial" w:eastAsia="Arial" w:hAnsi="Arial"/>
          <w:sz w:val="17"/>
          <w:szCs w:val="17"/>
          <w:color w:val="auto"/>
        </w:rPr>
        <w:t>.</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6.07.</w:t>
      </w:r>
      <w:r>
        <w:rPr>
          <w:sz w:val="20"/>
          <w:szCs w:val="20"/>
          <w:color w:val="auto"/>
        </w:rPr>
        <w:tab/>
      </w:r>
      <w:r>
        <w:rPr>
          <w:rFonts w:ascii="Arial" w:cs="Arial" w:eastAsia="Arial" w:hAnsi="Arial"/>
          <w:sz w:val="16"/>
          <w:szCs w:val="16"/>
          <w:u w:val="single" w:color="auto"/>
          <w:color w:val="auto"/>
        </w:rPr>
        <w:t>Privileged Matters</w:t>
      </w:r>
      <w:r>
        <w:rPr>
          <w:rFonts w:ascii="Arial" w:cs="Arial" w:eastAsia="Arial" w:hAnsi="Arial"/>
          <w:sz w:val="16"/>
          <w:szCs w:val="16"/>
          <w:color w:val="auto"/>
        </w:rPr>
        <w:t>.</w:t>
      </w:r>
    </w:p>
    <w:p>
      <w:pPr>
        <w:spacing w:after="0" w:line="224" w:lineRule="exact"/>
        <w:rPr>
          <w:sz w:val="20"/>
          <w:szCs w:val="20"/>
          <w:color w:val="auto"/>
        </w:rPr>
      </w:pPr>
    </w:p>
    <w:p>
      <w:pPr>
        <w:jc w:val="both"/>
        <w:ind w:right="220" w:firstLine="1263"/>
        <w:spacing w:after="0" w:line="268" w:lineRule="auto"/>
        <w:tabs>
          <w:tab w:leader="none" w:pos="18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Parties recognize that legal and other professional services that have been and shall be provided prior to the Effective Time have been and shall be rendered for the collective benefit of the Parties and their respective Subsidiaries, and that each Party and its respective Subsidiaries should be deemed to be the client with respect to such services for the purposes of asserting all privileges and immunities that may be asserted under applicable Law in connection therewith.</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Parties agree as follows:</w:t>
      </w:r>
    </w:p>
    <w:p>
      <w:pPr>
        <w:spacing w:after="0" w:line="224" w:lineRule="exact"/>
        <w:rPr>
          <w:rFonts w:ascii="Arial" w:cs="Arial" w:eastAsia="Arial" w:hAnsi="Arial"/>
          <w:sz w:val="17"/>
          <w:szCs w:val="17"/>
          <w:color w:val="auto"/>
        </w:rPr>
      </w:pPr>
    </w:p>
    <w:p>
      <w:pPr>
        <w:ind w:left="60" w:right="20" w:firstLine="1832"/>
        <w:spacing w:after="0" w:line="265" w:lineRule="auto"/>
        <w:tabs>
          <w:tab w:leader="none" w:pos="2535" w:val="left"/>
        </w:tabs>
        <w:numPr>
          <w:ilvl w:val="1"/>
          <w:numId w:val="92"/>
        </w:numPr>
        <w:rPr>
          <w:rFonts w:ascii="Arial" w:cs="Arial" w:eastAsia="Arial" w:hAnsi="Arial"/>
          <w:sz w:val="17"/>
          <w:szCs w:val="17"/>
          <w:color w:val="auto"/>
        </w:rPr>
      </w:pPr>
      <w:r>
        <w:rPr>
          <w:rFonts w:ascii="Arial" w:cs="Arial" w:eastAsia="Arial" w:hAnsi="Arial"/>
          <w:sz w:val="17"/>
          <w:szCs w:val="17"/>
          <w:color w:val="auto"/>
        </w:rPr>
        <w:t>Abbott shall be entitled, in perpetuity, to control the assertion or waiver of all privileges and immunities in connection with any Privileged Information that relates solely to the Abbott Business, whether or not the Privileged Information is in the possession or under the control of Abbott or an Abbott Subsidiary or AbbVie or an AbbVie Subsidiary. Abbott shall also be entitled, in perpetuity, to control the assertion or waiver of all privileges and immunities in connection with any Privileged Information that relates solely to any Abbott Liabilities resulting from any Proceedings that are now pending or may be asserted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80"/>
        <w:spacing w:after="0" w:line="289" w:lineRule="auto"/>
        <w:rPr>
          <w:sz w:val="20"/>
          <w:szCs w:val="20"/>
          <w:color w:val="auto"/>
        </w:rPr>
      </w:pPr>
      <w:r>
        <w:rPr>
          <w:rFonts w:ascii="Arial" w:cs="Arial" w:eastAsia="Arial" w:hAnsi="Arial"/>
          <w:sz w:val="17"/>
          <w:szCs w:val="17"/>
          <w:color w:val="auto"/>
        </w:rPr>
        <w:t>in the future, whether or not the Privileged Information is in the possession or under the control of Abbott or an Abbott Subsidiary or AbbVie or an AbbVie Subsidiary.</w:t>
      </w:r>
    </w:p>
    <w:p>
      <w:pPr>
        <w:spacing w:after="0" w:line="158" w:lineRule="exact"/>
        <w:rPr>
          <w:sz w:val="20"/>
          <w:szCs w:val="20"/>
          <w:color w:val="auto"/>
        </w:rPr>
      </w:pPr>
    </w:p>
    <w:p>
      <w:pPr>
        <w:ind w:left="60" w:right="40" w:firstLine="1832"/>
        <w:spacing w:after="0" w:line="263" w:lineRule="auto"/>
        <w:tabs>
          <w:tab w:leader="none" w:pos="2544" w:val="left"/>
        </w:tabs>
        <w:numPr>
          <w:ilvl w:val="1"/>
          <w:numId w:val="93"/>
        </w:numPr>
        <w:rPr>
          <w:rFonts w:ascii="Arial" w:cs="Arial" w:eastAsia="Arial" w:hAnsi="Arial"/>
          <w:sz w:val="17"/>
          <w:szCs w:val="17"/>
          <w:color w:val="auto"/>
        </w:rPr>
      </w:pPr>
      <w:r>
        <w:rPr>
          <w:rFonts w:ascii="Arial" w:cs="Arial" w:eastAsia="Arial" w:hAnsi="Arial"/>
          <w:sz w:val="17"/>
          <w:szCs w:val="17"/>
          <w:color w:val="auto"/>
        </w:rPr>
        <w:t>AbbVie shall be entitled, in perpetuity, to control the assertion or waiver of all privileges and immunities in connection with any Privileged Information that relates solely to the AbbVie Business, whether or not the Privileged Information is in the possession or under the control of AbbVie or an AbbVie Subsidiary or Abbott or an Abbott Subsidiary. AbbVie shall also be entitled, in perpetuity, to control the assertion or waiver of all privileges and immunities in connection with any Privileged Information that relates solely to any AbbVie Liabilities resulting from any Proceedings that are now pending or may be asserted in the future, whether or not the Privileged Information is in the possession or under the control of AbbVie or an AbbVie Subsidiary or Abbott or an Abbott Subsidiary.</w:t>
      </w:r>
    </w:p>
    <w:p>
      <w:pPr>
        <w:spacing w:after="0" w:line="183" w:lineRule="exact"/>
        <w:rPr>
          <w:rFonts w:ascii="Arial" w:cs="Arial" w:eastAsia="Arial" w:hAnsi="Arial"/>
          <w:sz w:val="17"/>
          <w:szCs w:val="17"/>
          <w:color w:val="auto"/>
        </w:rPr>
      </w:pPr>
    </w:p>
    <w:p>
      <w:pPr>
        <w:jc w:val="both"/>
        <w:ind w:left="60" w:right="20" w:firstLine="1832"/>
        <w:spacing w:after="0" w:line="265" w:lineRule="auto"/>
        <w:tabs>
          <w:tab w:leader="none" w:pos="2553"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If Abbott and AbbVie do not agree as to whether certain Information is Privileged Information, then the Information shall be treated as Privileged Information, and the Party who believes such Information is Privileged Information shall be entitled to control the assertion or waiver of all privileges and immunities in connection with any such Information unless the Parties otherwise agree. The Parties shall utilize the procedures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to resolve any disputes as to whether any Information relates solely to the Abbott Business, solely to the AbbVie Business, or to both the Abbott Business and the AbbVie Business.</w:t>
      </w:r>
    </w:p>
    <w:p>
      <w:pPr>
        <w:spacing w:after="0" w:line="179" w:lineRule="exact"/>
        <w:rPr>
          <w:rFonts w:ascii="Arial" w:cs="Arial" w:eastAsia="Arial" w:hAnsi="Arial"/>
          <w:sz w:val="17"/>
          <w:szCs w:val="17"/>
          <w:color w:val="auto"/>
        </w:rPr>
      </w:pPr>
    </w:p>
    <w:p>
      <w:pPr>
        <w:ind w:right="80" w:firstLine="1263"/>
        <w:spacing w:after="0" w:line="268" w:lineRule="auto"/>
        <w:tabs>
          <w:tab w:leader="none" w:pos="1898"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6.07(d)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6.07(e)</w:t>
      </w:r>
      <w:r>
        <w:rPr>
          <w:rFonts w:ascii="Arial" w:cs="Arial" w:eastAsia="Arial" w:hAnsi="Arial"/>
          <w:sz w:val="17"/>
          <w:szCs w:val="17"/>
          <w:color w:val="auto"/>
        </w:rPr>
        <w:t xml:space="preserve">, the Parties agree that they shall have a shared privilege or immunity with respect to all privileges not allocated pursuant to </w:t>
      </w:r>
      <w:r>
        <w:rPr>
          <w:rFonts w:ascii="Arial" w:cs="Arial" w:eastAsia="Arial" w:hAnsi="Arial"/>
          <w:sz w:val="17"/>
          <w:szCs w:val="17"/>
          <w:u w:val="single" w:color="auto"/>
          <w:color w:val="auto"/>
        </w:rPr>
        <w:t>Section 6.07(b)</w:t>
      </w:r>
      <w:r>
        <w:rPr>
          <w:rFonts w:ascii="Arial" w:cs="Arial" w:eastAsia="Arial" w:hAnsi="Arial"/>
          <w:sz w:val="17"/>
          <w:szCs w:val="17"/>
          <w:color w:val="auto"/>
        </w:rPr>
        <w:t xml:space="preserve"> and all privileges and immunities relating to any Proceedings or other matters that involve both Parties (or one or more of their respective Subsidiaries) and in respect of which both Parties have Liabilities under this Agreement, and that no such shared privilege or immunity may be waived by either Party without the consent of the other Party.</w:t>
      </w:r>
    </w:p>
    <w:p>
      <w:pPr>
        <w:spacing w:after="0" w:line="175" w:lineRule="exact"/>
        <w:rPr>
          <w:rFonts w:ascii="Arial" w:cs="Arial" w:eastAsia="Arial" w:hAnsi="Arial"/>
          <w:sz w:val="17"/>
          <w:szCs w:val="17"/>
          <w:color w:val="auto"/>
        </w:rPr>
      </w:pPr>
    </w:p>
    <w:p>
      <w:pPr>
        <w:ind w:right="180" w:firstLine="1263"/>
        <w:spacing w:after="0" w:line="265" w:lineRule="auto"/>
        <w:tabs>
          <w:tab w:leader="none" w:pos="189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any dispute arises between Abbott and AbbVie, or any of their respective Subsidiaries, regarding whether a privilege or immunity should be waived to protect or advance the interests of either Party and/or their respective Subsidiaries,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w:t>
      </w:r>
    </w:p>
    <w:p>
      <w:pPr>
        <w:spacing w:after="0" w:line="179" w:lineRule="exact"/>
        <w:rPr>
          <w:rFonts w:ascii="Arial" w:cs="Arial" w:eastAsia="Arial" w:hAnsi="Arial"/>
          <w:sz w:val="17"/>
          <w:szCs w:val="17"/>
          <w:color w:val="auto"/>
        </w:rPr>
      </w:pPr>
    </w:p>
    <w:p>
      <w:pPr>
        <w:ind w:right="100" w:firstLine="1263"/>
        <w:spacing w:after="0" w:line="263" w:lineRule="auto"/>
        <w:tabs>
          <w:tab w:leader="none" w:pos="1898"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Upon receipt by AbbVie or by any of the AbbVie Subsidiaries of any subpoena, discovery or other request that may reasonably be expected to result in the production or disclosure of Information subject to a shared privilege or immunity or as to which Abbott or any of the Abbott Subsidiaries has the sole right hereunder to assert a privilege or immunity, or if AbbVie obtains knowledge that any of its, or the AbbVie Subsidiary’s, current or former directors, officers, agents or employees have received any subpoena, discovery or other requests that may reasonably be expected to result in the production or disclosure of such Privileged Information, AbbVie shall promptly provide Notice to Abbott of the existence of the request (which Notice shall be delivered to Abbott no later than five (5) business days following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receipt of any such subpoena, discovery or other request) and shall provide Abbott a reasonable opportunity to review the Information and to assert any rights it or they may have, including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or otherwise, to prevent the production or disclosure of such Privileged Information.</w:t>
      </w:r>
    </w:p>
    <w:p>
      <w:pPr>
        <w:spacing w:after="0" w:line="158" w:lineRule="exact"/>
        <w:rPr>
          <w:sz w:val="20"/>
          <w:szCs w:val="20"/>
          <w:color w:val="auto"/>
        </w:rPr>
      </w:pPr>
    </w:p>
    <w:p>
      <w:pPr>
        <w:ind w:firstLine="1263"/>
        <w:spacing w:after="0" w:line="262" w:lineRule="auto"/>
        <w:tabs>
          <w:tab w:leader="none" w:pos="1892"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Upon receipt by Abbott or by any of the Abbott Subsidiaries of any subpoena, discovery or other request that may reasonably be expected to result in the production or disclosure of Information subject to a shared privilege or immunity or as to which AbbVie or any of the AbbVie Subsidiaries has the sole right hereunder to assert a privilege or immunity, or if Abbott obtains knowledge that any of its, or the Abbott Subsidiary’s, current or former directors, officers, agents or employees have received any subpoena, discovery or other requests that may reasonably be expected to result in the production or disclosure of such Privileged Information, Abbott shall promptly provide Notice to AbbVie of the existence of the request (which Notice shall be delivered to AbbVie no later than five (5) business days following the receipt of any such subpoena, discovery or other request) and shall provide AbbVie a reasonable opportunity to review the Information and to assert any rights it or they may have, including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or otherwise, to prevent the production or disclosure of such Privileged Information.</w:t>
      </w:r>
    </w:p>
    <w:p>
      <w:pPr>
        <w:spacing w:after="0" w:line="180" w:lineRule="exact"/>
        <w:rPr>
          <w:rFonts w:ascii="Arial" w:cs="Arial" w:eastAsia="Arial" w:hAnsi="Arial"/>
          <w:sz w:val="17"/>
          <w:szCs w:val="17"/>
          <w:color w:val="auto"/>
        </w:rPr>
      </w:pPr>
    </w:p>
    <w:p>
      <w:pPr>
        <w:ind w:right="40" w:firstLine="1263"/>
        <w:spacing w:after="0" w:line="290" w:lineRule="auto"/>
        <w:tabs>
          <w:tab w:leader="none" w:pos="19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Any furnishing of, or access to, Information pursuant to this Agreement is made in reliance on the agreement of Abbott and AbbVie set forth in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to maintain the confidentiality of Privileged Information and to assert and maintain all applicable privileges and immunities. The Parties further agree that (i) the exchange by one Party to the other Party of any Privileged Information that should not have been transferred pursuant to the terms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not be deemed to constitute a waiver of any privilege or immunity that has been or may be asserted under this</w:t>
      </w:r>
    </w:p>
    <w:p>
      <w:pPr>
        <w:sectPr>
          <w:pgSz w:w="11900" w:h="16838" w:orient="portrait"/>
          <w:cols w:equalWidth="0" w:num="1">
            <w:col w:w="11420"/>
          </w:cols>
          <w:pgMar w:left="240" w:top="127" w:right="239" w:bottom="0" w:gutter="0" w:footer="0" w:header="0"/>
        </w:sectPr>
      </w:pPr>
    </w:p>
    <w:bookmarkStart w:id="37" w:name="page38"/>
    <w:bookmarkEnd w:id="37"/>
    <w:p>
      <w:pPr>
        <w:spacing w:after="0" w:line="3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Agreement or otherwise with respect to such Privileged Information; and (ii) the Party receiving such Privileged Information shall promptly return such Privileged Information to the Party who has the right to assert the privilege or immunity.</w:t>
      </w:r>
    </w:p>
    <w:p>
      <w:pPr>
        <w:spacing w:after="0" w:line="158" w:lineRule="exact"/>
        <w:rPr>
          <w:sz w:val="20"/>
          <w:szCs w:val="20"/>
          <w:color w:val="auto"/>
        </w:rPr>
      </w:pPr>
    </w:p>
    <w:p>
      <w:pPr>
        <w:ind w:right="200" w:firstLine="1263"/>
        <w:spacing w:after="0" w:line="273" w:lineRule="auto"/>
        <w:tabs>
          <w:tab w:leader="none" w:pos="189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In furtherance of, and without limitation to, the Parties’ agreement under this </w:t>
      </w:r>
      <w:r>
        <w:rPr>
          <w:rFonts w:ascii="Arial" w:cs="Arial" w:eastAsia="Arial" w:hAnsi="Arial"/>
          <w:sz w:val="17"/>
          <w:szCs w:val="17"/>
          <w:u w:val="single" w:color="auto"/>
          <w:color w:val="auto"/>
        </w:rPr>
        <w:t>Section 6.07</w:t>
      </w:r>
      <w:r>
        <w:rPr>
          <w:rFonts w:ascii="Arial" w:cs="Arial" w:eastAsia="Arial" w:hAnsi="Arial"/>
          <w:sz w:val="17"/>
          <w:szCs w:val="17"/>
          <w:color w:val="auto"/>
        </w:rPr>
        <w:t>, Abbott and AbbVie shall, and shall cause their applicable Subsidiaries to, use reasonable efforts to maintain their respective separate and joint privileges and immunities, including by executing joint defense and/or common interest agreements where necessary or useful for this purpose.</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6.08.</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63" w:lineRule="auto"/>
        <w:tabs>
          <w:tab w:leader="none" w:pos="1885"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From and after the Effective Time,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6.09</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 as contemplated by or otherwise provided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any Ancillary Agreement, Abbott, on behalf of itself and each of the Abbott Subsidiaries, and AbbVie, on behalf of itself and each of the AbbVie Subsidiaries, agrees to hold, and to cause its respective directors, officers, employees, agents, accountants, counsel and other advisors and representatives (each, a “</w:t>
      </w:r>
      <w:r>
        <w:rPr>
          <w:rFonts w:ascii="Arial" w:cs="Arial" w:eastAsia="Arial" w:hAnsi="Arial"/>
          <w:sz w:val="17"/>
          <w:szCs w:val="17"/>
          <w:u w:val="single" w:color="auto"/>
          <w:color w:val="auto"/>
        </w:rPr>
        <w:t>Representative</w:t>
      </w:r>
      <w:r>
        <w:rPr>
          <w:rFonts w:ascii="Arial" w:cs="Arial" w:eastAsia="Arial" w:hAnsi="Arial"/>
          <w:sz w:val="17"/>
          <w:szCs w:val="17"/>
          <w:color w:val="auto"/>
        </w:rPr>
        <w:t>”) to hold, in strict confidence, with at least the same degree of care that applies to Abbott’s confidential and proprietary information pursuant to policies in effect as of the Effective Time, all confidential and proprietary information concerning the other Party (or its business) and the other Party’s Subsidiaries (or their respective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businesses) that is either in its possession (including confidential and proprietary information in its possession prior to the Effective Time) or furnished by the other Party or the other Party’s Subsidiaries or their respective Representatives at any time pursuant to this Agreement or any Ancillary Agreement, and shall not use any such confidential and proprietary information other than for such purposes as may be expressly permitted hereunder or thereunder, except, in each case, to the extent that such confidential and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and proprietary information; or (iii) independently developed or generated without reference to or use of the respective proprietary or confidential information of the other Party or any of its Subsidiaries. If any confidential and proprietary information of one Party or any of its Subsidiaries is disclosed to another Party or any of its Subsidiaries in connection with providing services to such first Party or any of its Subsidiaries under this Agreement or any Ancillary Agreement, then such disclosed confidential and proprietary information shall be used only as required to perform such services.</w:t>
      </w:r>
    </w:p>
    <w:p>
      <w:pPr>
        <w:spacing w:after="0" w:line="188" w:lineRule="exact"/>
        <w:rPr>
          <w:sz w:val="20"/>
          <w:szCs w:val="20"/>
          <w:color w:val="auto"/>
        </w:rPr>
      </w:pPr>
    </w:p>
    <w:p>
      <w:pPr>
        <w:ind w:right="60" w:firstLine="1263"/>
        <w:spacing w:after="0" w:line="268" w:lineRule="auto"/>
        <w:tabs>
          <w:tab w:leader="none" w:pos="1895"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No Release; Return or Destruction</w:t>
      </w:r>
      <w:r>
        <w:rPr>
          <w:rFonts w:ascii="Arial" w:cs="Arial" w:eastAsia="Arial" w:hAnsi="Arial"/>
          <w:sz w:val="17"/>
          <w:szCs w:val="17"/>
          <w:color w:val="auto"/>
        </w:rPr>
        <w:t>. Each Party agrees not to release or disclose, or permit to be released or disclosed, any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addressed in </w:t>
      </w:r>
      <w:r>
        <w:rPr>
          <w:rFonts w:ascii="Arial" w:cs="Arial" w:eastAsia="Arial" w:hAnsi="Arial"/>
          <w:sz w:val="17"/>
          <w:szCs w:val="17"/>
          <w:u w:val="single" w:color="auto"/>
          <w:color w:val="auto"/>
        </w:rPr>
        <w:t>Section 6.08(a)</w:t>
      </w:r>
      <w:r>
        <w:rPr>
          <w:rFonts w:ascii="Arial" w:cs="Arial" w:eastAsia="Arial" w:hAnsi="Arial"/>
          <w:sz w:val="17"/>
          <w:szCs w:val="17"/>
          <w:color w:val="auto"/>
        </w:rPr>
        <w:t xml:space="preserve"> to any other Person, except its Representatives who need to know such information in their capacities as such, and except in compliance with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Information furnished by the other Party after the Effective Time pursuant to this Agreement or any Ancillary Agreement shall be subject to the provisions of </w:t>
      </w:r>
      <w:r>
        <w:rPr>
          <w:rFonts w:ascii="Arial" w:cs="Arial" w:eastAsia="Arial" w:hAnsi="Arial"/>
          <w:sz w:val="17"/>
          <w:szCs w:val="17"/>
          <w:u w:val="single" w:color="auto"/>
          <w:color w:val="auto"/>
        </w:rPr>
        <w:t>Section 6.03</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right="60" w:firstLine="1263"/>
        <w:spacing w:after="0" w:line="279" w:lineRule="auto"/>
        <w:tabs>
          <w:tab w:leader="none" w:pos="1898"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or Data Protection Laws. </w:t>
      </w:r>
      <w:r>
        <w:rPr>
          <w:rFonts w:ascii="Arial" w:cs="Arial" w:eastAsia="Arial" w:hAnsi="Arial"/>
          <w:sz w:val="16"/>
          <w:szCs w:val="16"/>
          <w:color w:val="auto"/>
        </w:rPr>
        <w:t>Each Party acknowledges that it and its respective Subsidiaries may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presently have and, following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As may be provided in more detail in an applicable Ancillary Agreement,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6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6.09.</w:t>
      </w:r>
      <w:r>
        <w:rPr>
          <w:sz w:val="20"/>
          <w:szCs w:val="20"/>
          <w:color w:val="auto"/>
        </w:rPr>
        <w:tab/>
      </w:r>
      <w:r>
        <w:rPr>
          <w:rFonts w:ascii="Arial" w:cs="Arial" w:eastAsia="Arial" w:hAnsi="Arial"/>
          <w:sz w:val="15"/>
          <w:szCs w:val="15"/>
          <w:u w:val="single" w:color="auto"/>
          <w:color w:val="auto"/>
        </w:rPr>
        <w:t>Protective Arrangements</w:t>
      </w:r>
      <w:r>
        <w:rPr>
          <w:rFonts w:ascii="Arial" w:cs="Arial" w:eastAsia="Arial" w:hAnsi="Arial"/>
          <w:sz w:val="15"/>
          <w:szCs w:val="15"/>
          <w:color w:val="auto"/>
        </w:rPr>
        <w:t>. In the event that either Party or any of its Subsidiaries is requested or required (by oral question,</w:t>
      </w:r>
    </w:p>
    <w:p>
      <w:pPr>
        <w:spacing w:after="0" w:line="2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interrogatories, requests for information or documents, subpoena, civil investigative demand or similar process) by any Governmental Authority or pursuant to applicable Law to disclose or provide any confidential or proprietary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information of the other Party (other than with respect to any such information furnished pursuant to the provisions of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6.07</w:t>
      </w:r>
      <w:r>
        <w:rPr>
          <w:rFonts w:ascii="Arial" w:cs="Arial" w:eastAsia="Arial" w:hAnsi="Arial"/>
          <w:sz w:val="17"/>
          <w:szCs w:val="17"/>
          <w:color w:val="auto"/>
        </w:rPr>
        <w:t>), as applicable, that is subject to the confidentiality provisions hereof, such Party shall provide the other Party with Notice of such request or demand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counsel) or by lawful process or such Governmental Authority.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5"/>
          <w:szCs w:val="15"/>
          <w:u w:val="single" w:color="auto"/>
          <w:color w:val="auto"/>
        </w:rPr>
        <w:t>Disputes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85" w:lineRule="auto"/>
        <w:tabs>
          <w:tab w:leader="none" w:pos="1885"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Alternative Dispute Resolution Procedures</w:t>
      </w:r>
      <w:r>
        <w:rPr>
          <w:rFonts w:ascii="Arial" w:cs="Arial" w:eastAsia="Arial" w:hAnsi="Arial"/>
          <w:sz w:val="16"/>
          <w:szCs w:val="16"/>
          <w:color w:val="auto"/>
        </w:rPr>
        <w:t>. The Parties acknowledge that, from time to time after the Effective Time, a controversy,</w:t>
      </w:r>
      <w:r>
        <w:rPr>
          <w:rFonts w:ascii="Arial" w:cs="Arial" w:eastAsia="Arial" w:hAnsi="Arial"/>
          <w:sz w:val="16"/>
          <w:szCs w:val="16"/>
          <w:i w:val="1"/>
          <w:iCs w:val="1"/>
          <w:color w:val="auto"/>
        </w:rPr>
        <w:t xml:space="preserve"> </w:t>
      </w:r>
      <w:r>
        <w:rPr>
          <w:rFonts w:ascii="Arial" w:cs="Arial" w:eastAsia="Arial" w:hAnsi="Arial"/>
          <w:sz w:val="16"/>
          <w:szCs w:val="16"/>
          <w:color w:val="auto"/>
        </w:rPr>
        <w:t>dispute or claim (a “</w:t>
      </w:r>
      <w:r>
        <w:rPr>
          <w:rFonts w:ascii="Arial" w:cs="Arial" w:eastAsia="Arial" w:hAnsi="Arial"/>
          <w:sz w:val="16"/>
          <w:szCs w:val="16"/>
          <w:u w:val="single" w:color="auto"/>
          <w:color w:val="auto"/>
        </w:rPr>
        <w:t>Dispute</w:t>
      </w:r>
      <w:r>
        <w:rPr>
          <w:rFonts w:ascii="Arial" w:cs="Arial" w:eastAsia="Arial" w:hAnsi="Arial"/>
          <w:sz w:val="16"/>
          <w:szCs w:val="16"/>
          <w:color w:val="auto"/>
        </w:rPr>
        <w:t>”) may arise relating to either Party’s rights or obligations under this Agreement or any Ancillary Agreement. The Parties agree that any such Dispute (whether arising in contract, tort or otherwise) arising out of or relating in any way to this Agreement or any Ancillary Agreement (including regarding whether any Assets are AbbVie Assets, any Liabilities are AbbVie Liabilities or the interpretation or validity of this Agreement) shall be resolved by the Alternative Dispute Resolution (“</w:t>
      </w:r>
      <w:r>
        <w:rPr>
          <w:rFonts w:ascii="Arial" w:cs="Arial" w:eastAsia="Arial" w:hAnsi="Arial"/>
          <w:sz w:val="16"/>
          <w:szCs w:val="16"/>
          <w:u w:val="single" w:color="auto"/>
          <w:color w:val="auto"/>
        </w:rPr>
        <w:t>ADR</w:t>
      </w:r>
      <w:r>
        <w:rPr>
          <w:rFonts w:ascii="Arial" w:cs="Arial" w:eastAsia="Arial" w:hAnsi="Arial"/>
          <w:sz w:val="16"/>
          <w:szCs w:val="16"/>
          <w:color w:val="auto"/>
        </w:rPr>
        <w:t xml:space="preserve">”) provisions set forth in this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Schedule 7.01</w:t>
      </w:r>
      <w:r>
        <w:rPr>
          <w:rFonts w:ascii="Arial" w:cs="Arial" w:eastAsia="Arial" w:hAnsi="Arial"/>
          <w:sz w:val="16"/>
          <w:szCs w:val="16"/>
          <w:color w:val="auto"/>
        </w:rPr>
        <w:t>, the result of which shall be binding upon the Parties.</w:t>
      </w:r>
    </w:p>
    <w:p>
      <w:pPr>
        <w:spacing w:after="0" w:line="166" w:lineRule="exact"/>
        <w:rPr>
          <w:rFonts w:ascii="Arial" w:cs="Arial" w:eastAsia="Arial" w:hAnsi="Arial"/>
          <w:sz w:val="16"/>
          <w:szCs w:val="16"/>
          <w:color w:val="auto"/>
        </w:rPr>
      </w:pPr>
    </w:p>
    <w:p>
      <w:pPr>
        <w:ind w:right="180" w:firstLine="1893"/>
        <w:spacing w:after="0" w:line="289" w:lineRule="auto"/>
        <w:tabs>
          <w:tab w:leader="none" w:pos="2538" w:val="left"/>
        </w:tabs>
        <w:numPr>
          <w:ilvl w:val="1"/>
          <w:numId w:val="99"/>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Prior to initiating an ADR proceeding, a Party first must send Notice to the other Party (A) describing the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(B) requesting attempted resolution of the Dispute by good faith negotiations in accordance with </w:t>
      </w:r>
      <w:r>
        <w:rPr>
          <w:rFonts w:ascii="Arial" w:cs="Arial" w:eastAsia="Arial" w:hAnsi="Arial"/>
          <w:sz w:val="17"/>
          <w:szCs w:val="17"/>
          <w:u w:val="single" w:color="auto"/>
          <w:color w:val="auto"/>
        </w:rPr>
        <w:t>Section 7.01(a)(ii)</w:t>
      </w:r>
      <w:r>
        <w:rPr>
          <w:rFonts w:ascii="Arial" w:cs="Arial" w:eastAsia="Arial" w:hAnsi="Arial"/>
          <w:sz w:val="17"/>
          <w:szCs w:val="17"/>
          <w:color w:val="auto"/>
        </w:rPr>
        <w:t>.</w:t>
      </w:r>
    </w:p>
    <w:p>
      <w:pPr>
        <w:sectPr>
          <w:pgSz w:w="11900" w:h="16870" w:orient="portrait"/>
          <w:cols w:equalWidth="0" w:num="1">
            <w:col w:w="11380"/>
          </w:cols>
          <w:pgMar w:left="240" w:top="127" w:right="279" w:bottom="0" w:gutter="0" w:footer="0" w:header="0"/>
        </w:sectPr>
      </w:pPr>
    </w:p>
    <w:bookmarkStart w:id="38" w:name="page39"/>
    <w:bookmarkEnd w:id="38"/>
    <w:p>
      <w:pPr>
        <w:spacing w:after="0" w:line="39" w:lineRule="exact"/>
        <w:rPr>
          <w:sz w:val="20"/>
          <w:szCs w:val="20"/>
          <w:color w:val="auto"/>
        </w:rPr>
      </w:pPr>
    </w:p>
    <w:p>
      <w:pPr>
        <w:ind w:right="40" w:firstLine="1893"/>
        <w:spacing w:after="0" w:line="297" w:lineRule="auto"/>
        <w:tabs>
          <w:tab w:leader="none" w:pos="2547" w:val="left"/>
        </w:tabs>
        <w:numPr>
          <w:ilvl w:val="2"/>
          <w:numId w:val="100"/>
        </w:numPr>
        <w:rPr>
          <w:rFonts w:ascii="Arial" w:cs="Arial" w:eastAsia="Arial" w:hAnsi="Arial"/>
          <w:sz w:val="15"/>
          <w:szCs w:val="15"/>
          <w:color w:val="auto"/>
        </w:rPr>
      </w:pPr>
      <w:r>
        <w:rPr>
          <w:rFonts w:ascii="Arial" w:cs="Arial" w:eastAsia="Arial" w:hAnsi="Arial"/>
          <w:sz w:val="15"/>
          <w:szCs w:val="15"/>
          <w:i w:val="1"/>
          <w:iCs w:val="1"/>
          <w:color w:val="auto"/>
        </w:rPr>
        <w:t>Negotiations</w:t>
      </w:r>
      <w:r>
        <w:rPr>
          <w:rFonts w:ascii="Arial" w:cs="Arial" w:eastAsia="Arial" w:hAnsi="Arial"/>
          <w:sz w:val="15"/>
          <w:szCs w:val="15"/>
          <w:color w:val="auto"/>
        </w:rPr>
        <w:t>. The CEOs or Presidents of each Party shall designate a group of no more than three individuals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of each Party’s respective counsel not counting against such three individual limit), to participate in good faith negotiations with a like group designated by the other Party aimed at resolving the Dispute. The respective groups shall meet in person to conduct good faith negotiations during the twenty one</w:t>
      </w:r>
    </w:p>
    <w:p>
      <w:pPr>
        <w:ind w:right="280" w:firstLine="5"/>
        <w:spacing w:after="0" w:line="266" w:lineRule="auto"/>
        <w:tabs>
          <w:tab w:leader="none" w:pos="3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day period following receipt of the Notice. By mutual written consent, the Parties may extend the twenty one (21)-day period for conducting such negotiations. If the Parties fail to resolve the Dispute within the twenty one (21)-day period or the Parties fail to meet during such period, and the period is not extended by mutual written agreement, either Party may initiate an ADR proceeding as provided in </w:t>
      </w:r>
      <w:r>
        <w:rPr>
          <w:rFonts w:ascii="Arial" w:cs="Arial" w:eastAsia="Arial" w:hAnsi="Arial"/>
          <w:sz w:val="17"/>
          <w:szCs w:val="17"/>
          <w:u w:val="single" w:color="auto"/>
          <w:color w:val="auto"/>
        </w:rPr>
        <w:t>Schedule 7.01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20" w:firstLine="1263"/>
        <w:spacing w:after="0" w:line="289" w:lineRule="auto"/>
        <w:tabs>
          <w:tab w:leader="none" w:pos="1895" w:val="left"/>
        </w:tabs>
        <w:numPr>
          <w:ilvl w:val="1"/>
          <w:numId w:val="101"/>
        </w:numPr>
        <w:rPr>
          <w:rFonts w:ascii="Arial" w:cs="Arial" w:eastAsia="Arial" w:hAnsi="Arial"/>
          <w:sz w:val="17"/>
          <w:szCs w:val="17"/>
          <w:color w:val="auto"/>
        </w:rPr>
      </w:pPr>
      <w:r>
        <w:rPr>
          <w:rFonts w:ascii="Arial" w:cs="Arial" w:eastAsia="Arial" w:hAnsi="Arial"/>
          <w:sz w:val="17"/>
          <w:szCs w:val="17"/>
          <w:i w:val="1"/>
          <w:iCs w:val="1"/>
          <w:color w:val="auto"/>
        </w:rPr>
        <w:t>Continuation of Services and Commitments</w:t>
      </w:r>
      <w:r>
        <w:rPr>
          <w:rFonts w:ascii="Arial" w:cs="Arial" w:eastAsia="Arial" w:hAnsi="Arial"/>
          <w:sz w:val="17"/>
          <w:szCs w:val="17"/>
          <w:color w:val="auto"/>
        </w:rPr>
        <w:t>. Unless otherwise agreed in writing, the Parties shall,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to, continue to honor all commitments under this Agreement and each Ancillary Agreement to the extent required by such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Agreements during the course of dispute resolution pursuant to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all matters related to such Dispute.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TERMINATION</w:t>
      </w:r>
    </w:p>
    <w:p>
      <w:pPr>
        <w:spacing w:after="0" w:line="224"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all Ancillary Agreements may be terminated and the Distribution may be amended, modified or abandoned at any time prior to the Effective Time by and in the sole discretion of Abbott without the approval of any Person, including AbbVie. In the event of such termination, this Agreement shall become null and void and no Party, nor any of its directors, officers or employees, shall have any Liability of any kind to any Person by reason of this Agreement. After the Effective Time, this Agreement may not be terminated except by an agreement in writing signed by a duly authorized officer of each of the Parties.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9.01.</w:t>
      </w:r>
      <w:r>
        <w:rPr>
          <w:sz w:val="20"/>
          <w:szCs w:val="20"/>
          <w:color w:val="auto"/>
        </w:rPr>
        <w:tab/>
      </w:r>
      <w:r>
        <w:rPr>
          <w:rFonts w:ascii="Arial" w:cs="Arial" w:eastAsia="Arial" w:hAnsi="Arial"/>
          <w:sz w:val="15"/>
          <w:szCs w:val="15"/>
          <w:u w:val="single" w:color="auto"/>
          <w:color w:val="auto"/>
        </w:rPr>
        <w:t>Counterparts; Entire Agreement; Corporate Power; Facsimile Signatures</w:t>
      </w:r>
      <w:r>
        <w:rPr>
          <w:rFonts w:ascii="Arial" w:cs="Arial" w:eastAsia="Arial" w:hAnsi="Arial"/>
          <w:sz w:val="15"/>
          <w:szCs w:val="15"/>
          <w:color w:val="auto"/>
        </w:rPr>
        <w:t>.</w:t>
      </w:r>
    </w:p>
    <w:p>
      <w:pPr>
        <w:spacing w:after="0" w:line="224" w:lineRule="exact"/>
        <w:rPr>
          <w:sz w:val="20"/>
          <w:szCs w:val="20"/>
          <w:color w:val="auto"/>
        </w:rPr>
      </w:pPr>
    </w:p>
    <w:p>
      <w:pPr>
        <w:ind w:right="420" w:firstLine="1263"/>
        <w:spacing w:after="0" w:line="289" w:lineRule="auto"/>
        <w:tabs>
          <w:tab w:leader="none" w:pos="1885"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each Ancillary Agreement may be executed in one or more counterparts, all of which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one and the same agreement.</w:t>
      </w:r>
    </w:p>
    <w:p>
      <w:pPr>
        <w:spacing w:after="0" w:line="158" w:lineRule="exact"/>
        <w:rPr>
          <w:rFonts w:ascii="Arial" w:cs="Arial" w:eastAsia="Arial" w:hAnsi="Arial"/>
          <w:sz w:val="17"/>
          <w:szCs w:val="17"/>
          <w:color w:val="auto"/>
        </w:rPr>
      </w:pPr>
    </w:p>
    <w:p>
      <w:pPr>
        <w:ind w:firstLine="1263"/>
        <w:spacing w:after="0" w:line="280" w:lineRule="auto"/>
        <w:tabs>
          <w:tab w:leader="none" w:pos="189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Ancillary Agreements and the exhibits, schedules and annexes hereto and thereto contain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It is the intention of the Parties that the Conveyance and Assumption Instruments shall be consistent with the terms of this Agreement and the other Ancillary Agreements. In the event of any conflict between the Conveyance and Assumption Instruments and this Agreement, the provisions of this Agreement shall control. The Parties agree that the Conveyance and Assumption Instruments are not intended and shall not be construed in any way to enhance, modify or decrease any of the rights or obligations of Abbott, any Abbott Subsidiary, AbbVie or any AbbVie Subsidiary from those contained in this Agreement and the other Ancillary Agreements.</w:t>
      </w:r>
    </w:p>
    <w:p>
      <w:pPr>
        <w:spacing w:after="0" w:line="170" w:lineRule="exact"/>
        <w:rPr>
          <w:rFonts w:ascii="Arial" w:cs="Arial" w:eastAsia="Arial" w:hAnsi="Arial"/>
          <w:sz w:val="16"/>
          <w:szCs w:val="16"/>
          <w:color w:val="auto"/>
        </w:rPr>
      </w:pPr>
    </w:p>
    <w:p>
      <w:pPr>
        <w:ind w:right="20" w:firstLine="1263"/>
        <w:spacing w:after="0" w:line="289" w:lineRule="auto"/>
        <w:tabs>
          <w:tab w:leader="none" w:pos="1898"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Corporate Power</w:t>
      </w:r>
      <w:r>
        <w:rPr>
          <w:rFonts w:ascii="Arial" w:cs="Arial" w:eastAsia="Arial" w:hAnsi="Arial"/>
          <w:sz w:val="17"/>
          <w:szCs w:val="17"/>
          <w:color w:val="auto"/>
        </w:rPr>
        <w:t>. Abbott represents on behalf of itself and, to the extent applicable, each Abbott Subsidiary and AbbVie represents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itself and, to the extent applicable, each AbbVie Subsidiary as follows:</w:t>
      </w:r>
    </w:p>
    <w:p>
      <w:pPr>
        <w:spacing w:after="0" w:line="158" w:lineRule="exact"/>
        <w:rPr>
          <w:rFonts w:ascii="Arial" w:cs="Arial" w:eastAsia="Arial" w:hAnsi="Arial"/>
          <w:sz w:val="17"/>
          <w:szCs w:val="17"/>
          <w:color w:val="auto"/>
        </w:rPr>
      </w:pPr>
    </w:p>
    <w:p>
      <w:pPr>
        <w:ind w:firstLine="1893"/>
        <w:spacing w:after="0" w:line="273" w:lineRule="auto"/>
        <w:tabs>
          <w:tab w:leader="none" w:pos="253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289" w:lineRule="auto"/>
        <w:tabs>
          <w:tab w:leader="none" w:pos="254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this Agreement and each Ancillary Agreement to which it is a party has been duly executed and delivered by it and constitutes a valid and binding agreement of it enforceable in accordance with the terms thereof.</w:t>
      </w:r>
    </w:p>
    <w:p>
      <w:pPr>
        <w:spacing w:after="0" w:line="158" w:lineRule="exact"/>
        <w:rPr>
          <w:rFonts w:ascii="Arial" w:cs="Arial" w:eastAsia="Arial" w:hAnsi="Arial"/>
          <w:sz w:val="17"/>
          <w:szCs w:val="17"/>
          <w:color w:val="auto"/>
        </w:rPr>
      </w:pPr>
    </w:p>
    <w:p>
      <w:pPr>
        <w:ind w:right="60" w:firstLine="1263"/>
        <w:spacing w:after="0" w:line="261" w:lineRule="auto"/>
        <w:tabs>
          <w:tab w:leader="none" w:pos="1895"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Signatures and Delivery</w:t>
      </w:r>
      <w:r>
        <w:rPr>
          <w:rFonts w:ascii="Arial" w:cs="Arial" w:eastAsia="Arial" w:hAnsi="Arial"/>
          <w:sz w:val="17"/>
          <w:szCs w:val="17"/>
          <w:color w:val="auto"/>
        </w:rPr>
        <w:t>. Each Party acknowledges that it and the other Party may execute this Agreement and any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by manual,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a stamp or mechanical signature (regardless of whether delivered in person, by mail, by courier, by facsimile or by email in portable document format (PDF)) made in its respective name as if it were a manual signature delivered in person, agrees that it shall not assert that any such signature or delivery is not adequate to bind such Party to the same extent as if it were signed manually and delivered in person and agrees that, at the reasonable request of the other Party at any time, it shall as promptly as reasonably practicable cause each such Agreement and Ancillary Agreement to be manually executed (any such execution to be as of the date of the initial date thereof) and delivered in person, by mail or by courier.</w:t>
      </w:r>
    </w:p>
    <w:p>
      <w:pPr>
        <w:spacing w:after="0" w:line="18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unless expressly provided therein, each Ancillary Agreement,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72" w:lineRule="exact"/>
        <w:rPr>
          <w:sz w:val="20"/>
          <w:szCs w:val="20"/>
          <w:color w:val="auto"/>
        </w:rPr>
      </w:pPr>
    </w:p>
    <w:p>
      <w:pPr>
        <w:ind w:right="200" w:firstLine="629"/>
        <w:spacing w:after="0" w:line="308" w:lineRule="auto"/>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u w:val="single" w:color="auto"/>
          <w:color w:val="auto"/>
        </w:rPr>
        <w:t>Assignability</w:t>
      </w:r>
      <w:r>
        <w:rPr>
          <w:rFonts w:ascii="Arial" w:cs="Arial" w:eastAsia="Arial" w:hAnsi="Arial"/>
          <w:sz w:val="15"/>
          <w:szCs w:val="15"/>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neither Party nor any such party thereto may assign its rights or delegate its obligations under this Agreement or any Ancillary Agreement without the express prior written consent of the other Party hereto or the other parties thereto. Notwithstanding the foregoing, no such consent shall be required for the assignment of a Party’s rights and obligations under this Agreement or the Ancillary Agreements (except as may be otherwise provided in any such Ancillary Agreement or in a</w:t>
      </w:r>
    </w:p>
    <w:p>
      <w:pPr>
        <w:sectPr>
          <w:pgSz w:w="11900" w:h="16877" w:orient="portrait"/>
          <w:cols w:equalWidth="0" w:num="1">
            <w:col w:w="11380"/>
          </w:cols>
          <w:pgMar w:left="240" w:top="337" w:right="279" w:bottom="0" w:gutter="0" w:footer="0" w:header="0"/>
        </w:sectPr>
      </w:pPr>
    </w:p>
    <w:bookmarkStart w:id="39" w:name="page40"/>
    <w:bookmarkEnd w:id="39"/>
    <w:p>
      <w:pPr>
        <w:ind w:right="180"/>
        <w:spacing w:after="0" w:line="285" w:lineRule="auto"/>
        <w:rPr>
          <w:sz w:val="20"/>
          <w:szCs w:val="20"/>
          <w:color w:val="auto"/>
        </w:rPr>
      </w:pPr>
      <w:r>
        <w:rPr>
          <w:rFonts w:ascii="Arial" w:cs="Arial" w:eastAsia="Arial" w:hAnsi="Arial"/>
          <w:sz w:val="16"/>
          <w:szCs w:val="16"/>
          <w:color w:val="auto"/>
        </w:rPr>
        <w:t>Licensed Patent Schedule): (a) in whole in connection with a Change of Control of a Party; or (b) in part, on a Licensed Patent-by-Licensed Patent basis, in connection with the sale, transfer or other divestiture of a Sold Business by a Party (but only to the extent the partially assigned license rights are reasonably related to and necessary for such Sold Business), in either case,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of its Subsidiaries from being party to or undertaking a Change of Control.</w:t>
      </w:r>
    </w:p>
    <w:p>
      <w:pPr>
        <w:spacing w:after="0" w:line="166" w:lineRule="exact"/>
        <w:rPr>
          <w:sz w:val="20"/>
          <w:szCs w:val="20"/>
          <w:color w:val="auto"/>
        </w:rPr>
      </w:pPr>
    </w:p>
    <w:p>
      <w:pPr>
        <w:ind w:right="720" w:firstLine="629"/>
        <w:spacing w:after="0" w:line="32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Except (a) for the indemnification rights under this Agreement of an Abbott Indemnitee or AbbVie Indemnitee in their respective capacities as such under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 for the releases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of any Person provided therein;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and (c) to the extent otherwise provided in </w:t>
      </w:r>
      <w:r>
        <w:rPr>
          <w:rFonts w:ascii="Arial" w:cs="Arial" w:eastAsia="Arial" w:hAnsi="Arial"/>
          <w:sz w:val="17"/>
          <w:szCs w:val="17"/>
          <w:u w:val="single" w:color="auto"/>
          <w:color w:val="auto"/>
        </w:rPr>
        <w:t>Section 4.06(f)</w:t>
      </w:r>
      <w:r>
        <w:rPr>
          <w:rFonts w:ascii="Arial" w:cs="Arial" w:eastAsia="Arial" w:hAnsi="Arial"/>
          <w:sz w:val="17"/>
          <w:szCs w:val="17"/>
          <w:color w:val="auto"/>
        </w:rPr>
        <w:t>, (i) the provisions of this Agreement and each Ancillary Agreement are solely for the benefit of the Parties and their respective Subsidiaries, after giving effect to the Distribution, and their permitted successors and assigns, and are not intended to confer upon any Person except the Parties and their respective Subsidiaries, after giving effect to the Distribution, and their permitted successors and assigns, any rights or remedies hereunder; and (ii) there are no other third-party beneficiaries of this Agreement or any Ancillary Agreement and neither this Agreement nor any Ancillary Agreement shall provide any other Third Party with any remedy, claim, Liability, reimbursement, claim of action or other right in excess of those existing without reference to this Agreement or any Ancillary Agreement.</w:t>
      </w:r>
    </w:p>
    <w:p>
      <w:pPr>
        <w:spacing w:after="0" w:line="183" w:lineRule="exact"/>
        <w:rPr>
          <w:sz w:val="20"/>
          <w:szCs w:val="20"/>
          <w:color w:val="auto"/>
        </w:rPr>
      </w:pPr>
    </w:p>
    <w:p>
      <w:pPr>
        <w:ind w:right="100" w:firstLine="629"/>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to the extent applicable and unless otherwise provided therein, under each of the Ancillary Agreements shall be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If to Abbott:</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Laboratories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Building AP6D, Dept. 364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Abbott Park, Illinois 60064-6020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(847) 938-6277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If to AbbVie: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AbbVie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to the other Party, change the address to which such Notices are to be given.</w:t>
      </w:r>
    </w:p>
    <w:p>
      <w:pPr>
        <w:spacing w:after="0" w:line="224"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terms or provisions of this Agreement or any Ancillary Agreement or the application thereof to any Person or circumstance is determined by a court of competent jurisdiction to be invalid, illegal or unenforceable in any respect, such invalidity, illegality or unenforceability shall not affect any other term or provision of this Agreement or any Ancillary Agreement, or the application of such term or provision to Persons or circumstances or in jurisdictions other than those as to which it has been determined to be invalid, illegal or unenforceable, and the Parties shall use their commercially reasonable efforts to substitute one or more valid, legal and enforceable terms or provisions into this Agreement (or the applicable Ancillary Agreement) which, insofar as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practicable, implement the purposes and intent of the Parties. Any term or provision of this Agreement or any Ancillary Agreement held invalid or unenforceable only in part, degree or within certain jurisdictions shall remain in full force and effect to the extent not held invalid or unenforceable to the extent consistent with the intent of the parties as reflected by this Agreement. To the extent permitted by applicable Law, each party waives any term or provision of Law which renders any term or provision of this Agreement to be invalid, illegal or unenforceable in any respect.</w:t>
      </w:r>
    </w:p>
    <w:p>
      <w:pPr>
        <w:spacing w:after="0" w:line="176"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deemed in default of this Agreement or, unless otherwise expressly provided therein, any Ancillary Agreement for failure to fulfill any obligation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Notice to the other Party of the nature and extent of any such Force Majeure condition; and (b) use commercially reasonable efforts to remove any such causes and resume performance under this Agreement or any Ancillary Agreement as soon as reasonably practicable.</w:t>
      </w:r>
    </w:p>
    <w:p>
      <w:pPr>
        <w:spacing w:after="0" w:line="184" w:lineRule="exact"/>
        <w:rPr>
          <w:sz w:val="20"/>
          <w:szCs w:val="20"/>
          <w:color w:val="auto"/>
        </w:rPr>
      </w:pPr>
    </w:p>
    <w:p>
      <w:pPr>
        <w:ind w:right="180" w:firstLine="629"/>
        <w:spacing w:after="0" w:line="268"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No Set Off</w:t>
      </w:r>
      <w:r>
        <w:rPr>
          <w:rFonts w:ascii="Arial" w:cs="Arial" w:eastAsia="Arial" w:hAnsi="Arial"/>
          <w:sz w:val="17"/>
          <w:szCs w:val="17"/>
          <w:color w:val="auto"/>
        </w:rPr>
        <w:t>. Except as set forth in any Ancillary Agreement or as otherwise mutually agreed to in writing by the Parties, neither Party nor any of its Subsidiaries shall have any right of set off or other similar rights with respect to (a) any amounts received pursuant to this Agreement or any Ancillary Agreement; or (b) any other amounts claimed to be owed to the other Party or any of its Subsidiaries arising out of this Agreement or any Ancillary Agreement.</w:t>
      </w:r>
    </w:p>
    <w:p>
      <w:pPr>
        <w:spacing w:after="0" w:line="17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9.09.</w:t>
      </w:r>
      <w:r>
        <w:rPr>
          <w:sz w:val="20"/>
          <w:szCs w:val="20"/>
          <w:color w:val="auto"/>
        </w:rPr>
        <w:tab/>
      </w:r>
      <w:r>
        <w:rPr>
          <w:rFonts w:ascii="Arial" w:cs="Arial" w:eastAsia="Arial" w:hAnsi="Arial"/>
          <w:sz w:val="15"/>
          <w:szCs w:val="15"/>
          <w:u w:val="single" w:color="auto"/>
          <w:color w:val="auto"/>
        </w:rPr>
        <w:t>Responsibility for Expenses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360" w:lineRule="auto"/>
        <w:tabs>
          <w:tab w:leader="none" w:pos="1885"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Expenses Incurred on or Prior to the Effective Time</w:t>
      </w:r>
      <w:r>
        <w:rPr>
          <w:rFonts w:ascii="Arial" w:cs="Arial" w:eastAsia="Arial" w:hAnsi="Arial"/>
          <w:sz w:val="15"/>
          <w:szCs w:val="15"/>
          <w:color w:val="auto"/>
        </w:rPr>
        <w:t>. Except as otherwise expressly set forth in this Agreement or any Ancillary</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or as otherwise agreed to in writing by the Parties, all costs and expenses incurred on or prior to the Effective Time in connection with the preparation,</w:t>
      </w:r>
    </w:p>
    <w:p>
      <w:pPr>
        <w:sectPr>
          <w:pgSz w:w="11900" w:h="16838" w:orient="portrait"/>
          <w:cols w:equalWidth="0" w:num="1">
            <w:col w:w="11420"/>
          </w:cols>
          <w:pgMar w:left="240" w:top="127" w:right="239" w:bottom="0" w:gutter="0" w:footer="0" w:header="0"/>
        </w:sectPr>
      </w:pPr>
    </w:p>
    <w:bookmarkStart w:id="40" w:name="page41"/>
    <w:bookmarkEnd w:id="40"/>
    <w:p>
      <w:pPr>
        <w:spacing w:after="0" w:line="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execution, delivery and implementation of this Agreement and any Ancillary Agreement, the Separation, the Registration Statement, the plan of Separation and the Distribution and the consummation of the transactions contemplated hereby and thereby shall be charged to and paid by Abbott.</w:t>
      </w:r>
    </w:p>
    <w:p>
      <w:pPr>
        <w:spacing w:after="0" w:line="158" w:lineRule="exact"/>
        <w:rPr>
          <w:sz w:val="20"/>
          <w:szCs w:val="20"/>
          <w:color w:val="auto"/>
        </w:rPr>
      </w:pPr>
    </w:p>
    <w:p>
      <w:pPr>
        <w:ind w:right="80" w:firstLine="1263"/>
        <w:spacing w:after="0" w:line="305" w:lineRule="auto"/>
        <w:tabs>
          <w:tab w:leader="none" w:pos="1895"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Expenses Incurred or Accrued After the Effective Time</w:t>
      </w:r>
      <w:r>
        <w:rPr>
          <w:rFonts w:ascii="Arial" w:cs="Arial" w:eastAsia="Arial" w:hAnsi="Arial"/>
          <w:sz w:val="15"/>
          <w:szCs w:val="15"/>
          <w:color w:val="auto"/>
        </w:rPr>
        <w:t>. Except as otherwise expressly set forth in this Agreement or any Ancillary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or as otherwise agreed to in writing by the Parties, each Party shall bear its own costs and expenses incurred or accrued after the Effective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costs and expenses incurred in obtaining any Consent or novation from a Third Party in connection with the assignment to and assumption by a Party or its Subsidiary of any contracts, commitments or understandings in connection with the Separation shall be borne by the Party or its Subsidiary to which such contract, commitment or understanding is being assigned; and (ii) the Parties intend that ongoing cost obligations that each may have (x) as a provider of services under either the U.S. Transition Services Agreement or an International Transition Period Agreement following termination of such services, and (y)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in connection with overhead absorption and spending variances at certain pharmaceutical manufacturing facilities, shall be shared for a period of time, on terms to be agreed from time to time between the Parties.</w:t>
      </w:r>
    </w:p>
    <w:p>
      <w:pPr>
        <w:spacing w:after="0" w:line="15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5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Survival of Covenants</w:t>
      </w:r>
      <w:r>
        <w:rPr>
          <w:rFonts w:ascii="Arial" w:cs="Arial" w:eastAsia="Arial" w:hAnsi="Arial"/>
          <w:sz w:val="17"/>
          <w:szCs w:val="17"/>
          <w:color w:val="auto"/>
        </w:rPr>
        <w:t>. Except as expressly set forth in this Agreement or any Ancillary Agreement, the covenants and other agreements contained in this Agreement and each Ancillary Agreement, and liability for the breach of any obligations contained herein or therein, shall survive the Effective Time and shall remain in full force and effect thereafter.</w:t>
      </w:r>
    </w:p>
    <w:p>
      <w:pPr>
        <w:spacing w:after="0" w:line="172"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Subsidiaries</w:t>
      </w:r>
      <w:r>
        <w:rPr>
          <w:rFonts w:ascii="Arial" w:cs="Arial" w:eastAsia="Arial" w:hAnsi="Arial"/>
          <w:sz w:val="17"/>
          <w:szCs w:val="17"/>
          <w:color w:val="auto"/>
        </w:rPr>
        <w:t>. Abbott shall cause to be performed, and hereby guarantees the performance of, all actions, agreements and obligations set forth herein to be performed by an Abbott Subsidiary and AbbVie shall cause to be performed, and hereby guarantees the performance of, all actions, agreements and obligations set forth herein to be performed by an AbbVie Subsidiary.</w:t>
      </w:r>
    </w:p>
    <w:p>
      <w:pPr>
        <w:spacing w:after="0" w:line="172" w:lineRule="exact"/>
        <w:rPr>
          <w:sz w:val="20"/>
          <w:szCs w:val="20"/>
          <w:color w:val="auto"/>
        </w:rPr>
      </w:pPr>
    </w:p>
    <w:p>
      <w:pPr>
        <w:ind w:right="520" w:firstLine="629"/>
        <w:spacing w:after="0" w:line="322"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Waivers of Default</w:t>
      </w:r>
      <w:r>
        <w:rPr>
          <w:rFonts w:ascii="Arial" w:cs="Arial" w:eastAsia="Arial" w:hAnsi="Arial"/>
          <w:sz w:val="16"/>
          <w:szCs w:val="16"/>
          <w:color w:val="auto"/>
        </w:rPr>
        <w:t>. Waiver by either Party of any default by the other Party of any provision of this Agreement or any Ancillary Agreement shall not be deemed a waiver by the waiving Party of any subsequent or other default, nor shall it prejudice the rights of the waiving Party.</w:t>
      </w:r>
    </w:p>
    <w:p>
      <w:pPr>
        <w:spacing w:after="0" w:line="136"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provisions of this Agreement or any Ancillary Agreement shall be deemed amended, supplemented or modified unless such amendment, supplement or modification is in writing and signed by an authorized representative of both Parties or their relevant Subsidiaries, as the case may be. No provisions of this Agreement or any Ancillary Agreement shall be deemed waived unless such waiver is in writing and signed by the authorized representative of the Party or relevant Subsidiary against whom it is sought to be enforced.</w:t>
      </w:r>
    </w:p>
    <w:p>
      <w:pPr>
        <w:spacing w:after="0" w:line="176"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Interpretation</w:t>
      </w:r>
      <w:r>
        <w:rPr>
          <w:rFonts w:ascii="Arial" w:cs="Arial" w:eastAsia="Arial" w:hAnsi="Arial"/>
          <w:sz w:val="16"/>
          <w:szCs w:val="16"/>
          <w:color w:val="auto"/>
        </w:rPr>
        <w:t>. Words in the singular shall be deemed to include the plural and vice versa and words of one gender shall be deemed to include the other genders as the context requires. The terms “hereof,” “herein,” and “herewith” and words of similar import shall, unless otherwise stated, be construed to refer to this Agreement as a whole (including all of the Schedules and Exhibits hereto and thereto) and not to any particular provision of this Agreement. Article, Section, Exhibit and Schedule references are to the Articles, Sections, Exhibits, and Schedules to this Agreement unless otherwise specified. Unless otherwise stated, all references to any agreement shall be deemed to include the exhibits, schedules and annexes to such agreement. The word “including” and words of similar import when used in this Agreement shall mean “including, without limitation,” unless the context otherwise requires or unless otherwise specified. The word “or” shall not be exclusive. Unless otherwise specified in a particular case, the word “days” refers to calendar days. References herein to this Agreement or any Ancillary Agreement shall be deemed to refer to this Agreement or such Ancillary Agreement as of the date on which it is executed and as it may be amended, modified or supplemented thereafter, unless otherwise specified. References to the performance, discharge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or fulfillment of any Liability in accordance with its terms shall have meaning only to the extent such Liability has terms. If the Liability does not have terms, the reference shall mean performance, discharge or fulfillment of such Liability.</w:t>
      </w:r>
    </w:p>
    <w:p>
      <w:pPr>
        <w:spacing w:after="0" w:line="15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From and after the Effective Time, Abbott and AbbVie shall consult with each other before issuing, and give each other the opportunity to review and comment upon, that portion of any press release or other public statements that relates to the transactions contemplated by this Agreement or the Ancillary Agreements, and shall not issue any such press release or make any such public statement prior to such consultation, except (a) as may be required by applicable Law, court process or by obligations pursuant to any listing agreement with any national securities exchange or national securities quotation system; or (b) as otherwise set forth on </w:t>
      </w:r>
      <w:r>
        <w:rPr>
          <w:rFonts w:ascii="Arial" w:cs="Arial" w:eastAsia="Arial" w:hAnsi="Arial"/>
          <w:sz w:val="17"/>
          <w:szCs w:val="17"/>
          <w:u w:val="single" w:color="auto"/>
          <w:color w:val="auto"/>
        </w:rPr>
        <w:t>Schedule 9.16</w:t>
      </w:r>
      <w:r>
        <w:rPr>
          <w:rFonts w:ascii="Arial" w:cs="Arial" w:eastAsia="Arial" w:hAnsi="Arial"/>
          <w:sz w:val="17"/>
          <w:szCs w:val="17"/>
          <w:color w:val="auto"/>
        </w:rPr>
        <w:t>.</w:t>
      </w:r>
    </w:p>
    <w:p>
      <w:pPr>
        <w:spacing w:after="0" w:line="179"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(on an interim or permanent basis) of its rights under this Agreement or the Ancillary Agreements,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Proceeding for specific performance that a remedy at Law would be adequate is waived.</w:t>
      </w:r>
    </w:p>
    <w:p>
      <w:pPr>
        <w:spacing w:after="0" w:line="183"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 * *</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ectPr>
          <w:pgSz w:w="11900" w:h="16844"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tabs>
          <w:tab w:leader="none" w:pos="5740" w:val="left"/>
        </w:tabs>
        <w:rPr>
          <w:sz w:val="20"/>
          <w:szCs w:val="20"/>
          <w:color w:val="auto"/>
        </w:rPr>
      </w:pPr>
      <w:r>
        <w:rPr>
          <w:rFonts w:ascii="Arial" w:cs="Arial" w:eastAsia="Arial" w:hAnsi="Arial"/>
          <w:sz w:val="17"/>
          <w:szCs w:val="17"/>
          <w:color w:val="auto"/>
        </w:rPr>
        <w:t>ABBOTT LABORATORIES</w:t>
      </w:r>
      <w:r>
        <w:rPr>
          <w:sz w:val="20"/>
          <w:szCs w:val="20"/>
          <w:color w:val="auto"/>
        </w:rPr>
        <w:tab/>
      </w:r>
      <w:r>
        <w:rPr>
          <w:rFonts w:ascii="Arial" w:cs="Arial" w:eastAsia="Arial" w:hAnsi="Arial"/>
          <w:sz w:val="17"/>
          <w:szCs w:val="17"/>
          <w:color w:val="auto"/>
        </w:rPr>
        <w:t>ABBVIE INC.</w:t>
      </w:r>
    </w:p>
    <w:p>
      <w:pPr>
        <w:sectPr>
          <w:pgSz w:w="11900" w:h="16844" w:orient="portrait"/>
          <w:cols w:equalWidth="0" w:num="1">
            <w:col w:w="11420"/>
          </w:cols>
          <w:pgMar w:left="240" w:top="127" w:right="239"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22"/>
        </w:trPr>
        <w:tc>
          <w:tcPr>
            <w:tcW w:w="2280" w:type="dxa"/>
            <w:vAlign w:val="bottom"/>
            <w:gridSpan w:val="2"/>
          </w:tcPr>
          <w:p>
            <w:pPr>
              <w:spacing w:after="0"/>
              <w:rPr>
                <w:sz w:val="20"/>
                <w:szCs w:val="20"/>
                <w:color w:val="auto"/>
              </w:rPr>
            </w:pPr>
            <w:r>
              <w:rPr>
                <w:rFonts w:ascii="Arial" w:cs="Arial" w:eastAsia="Arial" w:hAnsi="Arial"/>
                <w:sz w:val="17"/>
                <w:szCs w:val="17"/>
                <w:color w:val="auto"/>
              </w:rPr>
              <w:t>By:</w:t>
            </w:r>
          </w:p>
        </w:tc>
        <w:tc>
          <w:tcPr>
            <w:tcW w:w="3160" w:type="dxa"/>
            <w:vAlign w:val="bottom"/>
          </w:tcPr>
          <w:p>
            <w:pPr>
              <w:spacing w:after="0"/>
              <w:rPr>
                <w:sz w:val="19"/>
                <w:szCs w:val="19"/>
                <w:color w:val="auto"/>
              </w:rPr>
            </w:pPr>
          </w:p>
        </w:tc>
        <w:tc>
          <w:tcPr>
            <w:tcW w:w="5980" w:type="dxa"/>
            <w:vAlign w:val="bottom"/>
            <w:gridSpan w:val="2"/>
          </w:tcPr>
          <w:p>
            <w:pPr>
              <w:ind w:left="32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9"/>
                <w:szCs w:val="19"/>
                <w:color w:val="auto"/>
              </w:rPr>
            </w:pPr>
          </w:p>
        </w:tc>
      </w:tr>
      <w:tr>
        <w:trPr>
          <w:trHeight w:val="191"/>
        </w:trPr>
        <w:tc>
          <w:tcPr>
            <w:tcW w:w="46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31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4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Title:</w:t>
            </w:r>
          </w:p>
        </w:tc>
        <w:tc>
          <w:tcPr>
            <w:tcW w:w="3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629"/>
        </w:trPr>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140" w:type="dxa"/>
            <w:vAlign w:val="bottom"/>
            <w:gridSpan w:val="3"/>
          </w:tcPr>
          <w:p>
            <w:pPr>
              <w:ind w:left="1340"/>
              <w:spacing w:after="0"/>
              <w:rPr>
                <w:sz w:val="20"/>
                <w:szCs w:val="20"/>
                <w:color w:val="auto"/>
              </w:rPr>
            </w:pPr>
            <w:r>
              <w:rPr>
                <w:rFonts w:ascii="Arial" w:cs="Arial" w:eastAsia="Arial" w:hAnsi="Arial"/>
                <w:sz w:val="17"/>
                <w:szCs w:val="17"/>
                <w:i w:val="1"/>
                <w:iCs w:val="1"/>
                <w:color w:val="auto"/>
              </w:rPr>
              <w:t>[Signature Page to Separation and Distribution Agreement]</w:t>
            </w:r>
          </w:p>
        </w:tc>
        <w:tc>
          <w:tcPr>
            <w:tcW w:w="40" w:type="dxa"/>
            <w:vAlign w:val="bottom"/>
          </w:tcPr>
          <w:p>
            <w:pPr>
              <w:spacing w:after="0"/>
              <w:rPr>
                <w:sz w:val="24"/>
                <w:szCs w:val="24"/>
                <w:color w:val="auto"/>
              </w:rPr>
            </w:pPr>
          </w:p>
        </w:tc>
      </w:tr>
      <w:tr>
        <w:trPr>
          <w:trHeight w:val="338"/>
        </w:trPr>
        <w:tc>
          <w:tcPr>
            <w:tcW w:w="4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31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47" w:right="199" w:bottom="1440" w:gutter="0" w:footer="0" w:header="0"/>
        </w:sectPr>
      </w:pPr>
    </w:p>
    <w:bookmarkStart w:id="42" w:name="page43"/>
    <w:bookmarkEnd w:id="42"/>
    <w:p>
      <w:pPr>
        <w:ind w:left="10520"/>
        <w:spacing w:after="0"/>
        <w:rPr>
          <w:sz w:val="20"/>
          <w:szCs w:val="20"/>
          <w:color w:val="auto"/>
        </w:rPr>
      </w:pPr>
      <w:r>
        <w:rPr>
          <w:rFonts w:ascii="Arial" w:cs="Arial" w:eastAsia="Arial" w:hAnsi="Arial"/>
          <w:sz w:val="16"/>
          <w:szCs w:val="16"/>
          <w:b w:val="1"/>
          <w:bCs w:val="1"/>
          <w:color w:val="auto"/>
        </w:rPr>
        <w:t>Exhibit 10.5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Pr>
          <w:p>
            <w:pPr>
              <w:spacing w:after="0"/>
              <w:rPr>
                <w:sz w:val="19"/>
                <w:szCs w:val="19"/>
                <w:color w:val="auto"/>
              </w:rPr>
            </w:pPr>
          </w:p>
        </w:tc>
        <w:tc>
          <w:tcPr>
            <w:tcW w:w="9060" w:type="dxa"/>
            <w:vAlign w:val="bottom"/>
          </w:tcPr>
          <w:p>
            <w:pPr>
              <w:jc w:val="center"/>
              <w:ind w:right="573"/>
              <w:spacing w:after="0"/>
              <w:rPr>
                <w:sz w:val="20"/>
                <w:szCs w:val="20"/>
                <w:color w:val="auto"/>
              </w:rPr>
            </w:pPr>
            <w:r>
              <w:rPr>
                <w:rFonts w:ascii="Arial" w:cs="Arial" w:eastAsia="Arial" w:hAnsi="Arial"/>
                <w:sz w:val="17"/>
                <w:szCs w:val="17"/>
                <w:color w:val="auto"/>
                <w:w w:val="96"/>
              </w:rPr>
              <w:t>FORM OF</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w w:val="99"/>
              </w:rPr>
              <w:t>EMPLOYEE MATTERS AGREEMENT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rPr>
              <w:t>BY AND BETWEEN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rPr>
              <w:t>ABBOTT LABORATORIES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rPr>
              <w:t>AND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73"/>
              <w:spacing w:after="0"/>
              <w:rPr>
                <w:sz w:val="20"/>
                <w:szCs w:val="20"/>
                <w:color w:val="auto"/>
              </w:rPr>
            </w:pPr>
            <w:r>
              <w:rPr>
                <w:rFonts w:ascii="Arial" w:cs="Arial" w:eastAsia="Arial" w:hAnsi="Arial"/>
                <w:sz w:val="17"/>
                <w:szCs w:val="17"/>
                <w:color w:val="auto"/>
              </w:rPr>
              <w:t>ABBVIE INC.</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w w:val="96"/>
              </w:rPr>
              <w:t>DATED AS OF [·], 2012</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520" w:type="dxa"/>
            <w:vAlign w:val="bottom"/>
            <w:tcBorders>
              <w:bottom w:val="single" w:sz="8" w:color="010101"/>
            </w:tcBorders>
          </w:tcPr>
          <w:p>
            <w:pPr>
              <w:spacing w:after="0"/>
              <w:rPr>
                <w:sz w:val="24"/>
                <w:szCs w:val="24"/>
                <w:color w:val="auto"/>
              </w:rPr>
            </w:pPr>
          </w:p>
        </w:tc>
        <w:tc>
          <w:tcPr>
            <w:tcW w:w="90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w w:val="98"/>
              </w:rPr>
              <w:t>TABLE OF CONTENTS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58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1.01.</w:t>
            </w:r>
          </w:p>
        </w:tc>
        <w:tc>
          <w:tcPr>
            <w:tcW w:w="9060" w:type="dxa"/>
            <w:vAlign w:val="bottom"/>
          </w:tcPr>
          <w:p>
            <w:pPr>
              <w:ind w:left="60"/>
              <w:spacing w:after="0"/>
              <w:rPr>
                <w:sz w:val="20"/>
                <w:szCs w:val="20"/>
                <w:color w:val="auto"/>
              </w:rPr>
            </w:pPr>
            <w:r>
              <w:rPr>
                <w:rFonts w:ascii="Arial" w:cs="Arial" w:eastAsia="Arial" w:hAnsi="Arial"/>
                <w:sz w:val="17"/>
                <w:szCs w:val="17"/>
                <w:color w:val="auto"/>
              </w:rPr>
              <w:t>Defined Terms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580" w:type="dxa"/>
            <w:vAlign w:val="bottom"/>
            <w:gridSpan w:val="2"/>
          </w:tcPr>
          <w:p>
            <w:pPr>
              <w:spacing w:after="0"/>
              <w:rPr>
                <w:sz w:val="20"/>
                <w:szCs w:val="20"/>
                <w:color w:val="auto"/>
              </w:rPr>
            </w:pPr>
            <w:r>
              <w:rPr>
                <w:rFonts w:ascii="Arial" w:cs="Arial" w:eastAsia="Arial" w:hAnsi="Arial"/>
                <w:sz w:val="17"/>
                <w:szCs w:val="17"/>
                <w:color w:val="auto"/>
              </w:rPr>
              <w:t>ARTICLE II GENERAL PRINCIPLES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2.01.  Allocation of Liabilities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2.02.  Employment with AbbVie</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2.03.  Establishment of AbbVie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2.04.  Post-Distribution Employment Transfers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2.05.</w:t>
            </w:r>
          </w:p>
        </w:tc>
        <w:tc>
          <w:tcPr>
            <w:tcW w:w="9060" w:type="dxa"/>
            <w:vAlign w:val="bottom"/>
          </w:tcPr>
          <w:p>
            <w:pPr>
              <w:ind w:left="60"/>
              <w:spacing w:after="0"/>
              <w:rPr>
                <w:sz w:val="20"/>
                <w:szCs w:val="20"/>
                <w:color w:val="auto"/>
              </w:rPr>
            </w:pPr>
            <w:r>
              <w:rPr>
                <w:rFonts w:ascii="Arial" w:cs="Arial" w:eastAsia="Arial" w:hAnsi="Arial"/>
                <w:sz w:val="17"/>
                <w:szCs w:val="17"/>
                <w:color w:val="auto"/>
              </w:rPr>
              <w:t>Collective Bargaining</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2.06.</w:t>
            </w:r>
          </w:p>
        </w:tc>
        <w:tc>
          <w:tcPr>
            <w:tcW w:w="9060" w:type="dxa"/>
            <w:vAlign w:val="bottom"/>
          </w:tcPr>
          <w:p>
            <w:pPr>
              <w:ind w:left="60"/>
              <w:spacing w:after="0"/>
              <w:rPr>
                <w:sz w:val="20"/>
                <w:szCs w:val="20"/>
                <w:color w:val="auto"/>
              </w:rPr>
            </w:pPr>
            <w:r>
              <w:rPr>
                <w:rFonts w:ascii="Arial" w:cs="Arial" w:eastAsia="Arial" w:hAnsi="Arial"/>
                <w:sz w:val="17"/>
                <w:szCs w:val="17"/>
                <w:color w:val="auto"/>
              </w:rPr>
              <w:t>Distributorship Model</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0580" w:type="dxa"/>
            <w:vAlign w:val="bottom"/>
            <w:gridSpan w:val="2"/>
          </w:tcPr>
          <w:p>
            <w:pPr>
              <w:spacing w:after="0"/>
              <w:rPr>
                <w:sz w:val="20"/>
                <w:szCs w:val="20"/>
                <w:color w:val="auto"/>
              </w:rPr>
            </w:pPr>
            <w:r>
              <w:rPr>
                <w:rFonts w:ascii="Arial" w:cs="Arial" w:eastAsia="Arial" w:hAnsi="Arial"/>
                <w:sz w:val="17"/>
                <w:szCs w:val="17"/>
                <w:color w:val="auto"/>
              </w:rPr>
              <w:t>ARTICLE III U.S. QUALIFIED AND NON-QUALIFIED RETIREMENT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3.01.  AbbVie Pension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3.02.  Abbott-AbbVie Multiple Employer Pension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3.03.  Stock Retirement/Savings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3.04.  Pension Plan for Former BASF and Former Solvay Employees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3.05.  Supplemental Pension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3.06.  Deferred Compensation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3.07.  Supplemental Savings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10580" w:type="dxa"/>
            <w:vAlign w:val="bottom"/>
            <w:gridSpan w:val="2"/>
          </w:tcPr>
          <w:p>
            <w:pPr>
              <w:ind w:left="540"/>
              <w:spacing w:after="0"/>
              <w:rPr>
                <w:sz w:val="20"/>
                <w:szCs w:val="20"/>
                <w:color w:val="auto"/>
              </w:rPr>
            </w:pPr>
            <w:r>
              <w:rPr>
                <w:rFonts w:ascii="Arial" w:cs="Arial" w:eastAsia="Arial" w:hAnsi="Arial"/>
                <w:sz w:val="17"/>
                <w:szCs w:val="17"/>
                <w:color w:val="auto"/>
                <w:w w:val="95"/>
              </w:rPr>
              <w:t>Section 3.08.  Deferred Compensation Plan for Former Employees of Solvay and Supplemental Pension Plan for Former BASF and Former</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9060" w:type="dxa"/>
            <w:vAlign w:val="bottom"/>
          </w:tcPr>
          <w:p>
            <w:pPr>
              <w:ind w:left="80"/>
              <w:spacing w:after="0"/>
              <w:rPr>
                <w:sz w:val="20"/>
                <w:szCs w:val="20"/>
                <w:color w:val="auto"/>
              </w:rPr>
            </w:pPr>
            <w:r>
              <w:rPr>
                <w:rFonts w:ascii="Arial" w:cs="Arial" w:eastAsia="Arial" w:hAnsi="Arial"/>
                <w:sz w:val="17"/>
                <w:szCs w:val="17"/>
                <w:color w:val="auto"/>
              </w:rPr>
              <w:t>Solvay Employees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0580" w:type="dxa"/>
            <w:vAlign w:val="bottom"/>
            <w:gridSpan w:val="2"/>
          </w:tcPr>
          <w:p>
            <w:pPr>
              <w:spacing w:after="0"/>
              <w:rPr>
                <w:sz w:val="20"/>
                <w:szCs w:val="20"/>
                <w:color w:val="auto"/>
              </w:rPr>
            </w:pPr>
            <w:r>
              <w:rPr>
                <w:rFonts w:ascii="Arial" w:cs="Arial" w:eastAsia="Arial" w:hAnsi="Arial"/>
                <w:sz w:val="17"/>
                <w:szCs w:val="17"/>
                <w:color w:val="auto"/>
              </w:rPr>
              <w:t>ARTICLE IV NON-U.S. RETIREMENT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408"/>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4.01.  Establishment of Non-U.S. Retirement Plans and Transfers of Assets and Liabilities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4.02.  Shared Plan Model</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r>
      <w:tr>
        <w:trPr>
          <w:trHeight w:val="222"/>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4.03.  Overseas Managers Pension Plan and Territorial Pension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r>
      <w:tr>
        <w:trPr>
          <w:trHeight w:val="419"/>
        </w:trPr>
        <w:tc>
          <w:tcPr>
            <w:tcW w:w="10580" w:type="dxa"/>
            <w:vAlign w:val="bottom"/>
            <w:gridSpan w:val="2"/>
          </w:tcPr>
          <w:p>
            <w:pPr>
              <w:spacing w:after="0"/>
              <w:rPr>
                <w:sz w:val="20"/>
                <w:szCs w:val="20"/>
                <w:color w:val="auto"/>
              </w:rPr>
            </w:pPr>
            <w:r>
              <w:rPr>
                <w:rFonts w:ascii="Arial" w:cs="Arial" w:eastAsia="Arial" w:hAnsi="Arial"/>
                <w:sz w:val="17"/>
                <w:szCs w:val="17"/>
                <w:color w:val="auto"/>
              </w:rPr>
              <w:t>ARTICLE V WELFARE AND FRINGE BENEFIT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08"/>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5.01.  U.S. Health and Welfare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5.02.  COBRA and HIPAA</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5.03.  U.S. Life Insurance Trust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5.04.  Vacation, Holidays and Leaves of Absence</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5.05.  Severance and Unemployment Compensation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5.06.</w:t>
            </w:r>
          </w:p>
        </w:tc>
        <w:tc>
          <w:tcPr>
            <w:tcW w:w="9060" w:type="dxa"/>
            <w:vAlign w:val="bottom"/>
          </w:tcPr>
          <w:p>
            <w:pPr>
              <w:ind w:left="60"/>
              <w:spacing w:after="0"/>
              <w:rPr>
                <w:sz w:val="20"/>
                <w:szCs w:val="20"/>
                <w:color w:val="auto"/>
              </w:rPr>
            </w:pPr>
            <w:r>
              <w:rPr>
                <w:rFonts w:ascii="Arial" w:cs="Arial" w:eastAsia="Arial" w:hAnsi="Arial"/>
                <w:sz w:val="17"/>
                <w:szCs w:val="17"/>
                <w:color w:val="auto"/>
              </w:rPr>
              <w:t>Workers’ Compensation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22"/>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5.07.  Non-U.S. Shared Health and Welfare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419"/>
        </w:trPr>
        <w:tc>
          <w:tcPr>
            <w:tcW w:w="1520" w:type="dxa"/>
            <w:vAlign w:val="bottom"/>
          </w:tcPr>
          <w:p>
            <w:pPr>
              <w:spacing w:after="0"/>
              <w:rPr>
                <w:sz w:val="24"/>
                <w:szCs w:val="24"/>
                <w:color w:val="auto"/>
              </w:rPr>
            </w:pPr>
          </w:p>
        </w:tc>
        <w:tc>
          <w:tcPr>
            <w:tcW w:w="9060" w:type="dxa"/>
            <w:vAlign w:val="bottom"/>
          </w:tcPr>
          <w:p>
            <w:pPr>
              <w:jc w:val="center"/>
              <w:ind w:right="593"/>
              <w:spacing w:after="0"/>
              <w:rPr>
                <w:sz w:val="20"/>
                <w:szCs w:val="20"/>
                <w:color w:val="auto"/>
              </w:rPr>
            </w:pPr>
            <w:r>
              <w:rPr>
                <w:rFonts w:ascii="Arial" w:cs="Arial" w:eastAsia="Arial" w:hAnsi="Arial"/>
                <w:sz w:val="17"/>
                <w:szCs w:val="17"/>
                <w:color w:val="auto"/>
              </w:rPr>
              <w:t>i</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0580" w:type="dxa"/>
            <w:vAlign w:val="bottom"/>
            <w:tcBorders>
              <w:bottom w:val="single" w:sz="8" w:color="010101"/>
            </w:tcBorders>
            <w:gridSpan w:val="2"/>
          </w:tcPr>
          <w:p>
            <w:pPr>
              <w:spacing w:after="0"/>
              <w:rPr>
                <w:sz w:val="11"/>
                <w:szCs w:val="11"/>
                <w:color w:val="auto"/>
              </w:rPr>
            </w:pPr>
          </w:p>
        </w:tc>
        <w:tc>
          <w:tcPr>
            <w:tcW w:w="880" w:type="dxa"/>
            <w:vAlign w:val="bottom"/>
            <w:tcBorders>
              <w:bottom w:val="single" w:sz="8" w:color="010101"/>
            </w:tcBorders>
            <w:gridSpan w:val="2"/>
          </w:tcPr>
          <w:p>
            <w:pPr>
              <w:spacing w:after="0"/>
              <w:rPr>
                <w:sz w:val="11"/>
                <w:szCs w:val="11"/>
                <w:color w:val="auto"/>
              </w:rPr>
            </w:pPr>
          </w:p>
        </w:tc>
      </w:tr>
      <w:tr>
        <w:trPr>
          <w:trHeight w:val="756"/>
        </w:trPr>
        <w:tc>
          <w:tcPr>
            <w:tcW w:w="10580" w:type="dxa"/>
            <w:vAlign w:val="bottom"/>
            <w:gridSpan w:val="2"/>
          </w:tcPr>
          <w:p>
            <w:pPr>
              <w:spacing w:after="0"/>
              <w:rPr>
                <w:sz w:val="20"/>
                <w:szCs w:val="20"/>
                <w:color w:val="auto"/>
              </w:rPr>
            </w:pPr>
            <w:r>
              <w:rPr>
                <w:rFonts w:ascii="Arial" w:cs="Arial" w:eastAsia="Arial" w:hAnsi="Arial"/>
                <w:sz w:val="17"/>
                <w:szCs w:val="17"/>
                <w:color w:val="auto"/>
              </w:rPr>
              <w:t>ARTICLE VI EQUITY, INCENTIVE, AND EXECUTIVE COMPENSATION PROGRAMS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408"/>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6.01.  Equity Incentive Programs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6.02.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6.03.  Annual Incentive Plans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6.04.  Performance Incentive Plan and Management Incentive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0"/>
        </w:trPr>
        <w:tc>
          <w:tcPr>
            <w:tcW w:w="10580" w:type="dxa"/>
            <w:vAlign w:val="bottom"/>
            <w:gridSpan w:val="2"/>
          </w:tcPr>
          <w:p>
            <w:pPr>
              <w:ind w:left="520"/>
              <w:spacing w:after="0"/>
              <w:rPr>
                <w:sz w:val="20"/>
                <w:szCs w:val="20"/>
                <w:color w:val="auto"/>
              </w:rPr>
            </w:pPr>
            <w:r>
              <w:rPr>
                <w:rFonts w:ascii="Arial" w:cs="Arial" w:eastAsia="Arial" w:hAnsi="Arial"/>
                <w:sz w:val="17"/>
                <w:szCs w:val="17"/>
                <w:color w:val="auto"/>
              </w:rPr>
              <w:t>Section 6.05.  Directors’ Fee Plan</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22"/>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6.06.</w:t>
            </w:r>
          </w:p>
        </w:tc>
        <w:tc>
          <w:tcPr>
            <w:tcW w:w="9060" w:type="dxa"/>
            <w:vAlign w:val="bottom"/>
          </w:tcPr>
          <w:p>
            <w:pPr>
              <w:ind w:left="60"/>
              <w:spacing w:after="0"/>
              <w:rPr>
                <w:sz w:val="20"/>
                <w:szCs w:val="20"/>
                <w:color w:val="auto"/>
              </w:rPr>
            </w:pPr>
            <w:r>
              <w:rPr>
                <w:rFonts w:ascii="Arial" w:cs="Arial" w:eastAsia="Arial" w:hAnsi="Arial"/>
                <w:sz w:val="17"/>
                <w:szCs w:val="17"/>
                <w:color w:val="auto"/>
              </w:rPr>
              <w:t>Grantor Trusts</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-7976235</wp:posOffset>
            </wp:positionV>
            <wp:extent cx="12700"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-7976235</wp:posOffset>
            </wp:positionV>
            <wp:extent cx="12700"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-1441450</wp:posOffset>
            </wp:positionV>
            <wp:extent cx="12700"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-1441450</wp:posOffset>
            </wp:positionV>
            <wp:extent cx="12700"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VII PUERTO RICO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8"/>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7.01.  Puerto Rico Retirement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7.02.  Puerto Rico Stock Retirement/Savings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7.03.  Puerto Rico Supplemental Retirement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7.04.  Puerto Rico Health and Welfare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7.05.  COBRA and HIPAA</w:t>
            </w:r>
          </w:p>
        </w:tc>
        <w:tc>
          <w:tcPr>
            <w:tcW w:w="30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419"/>
        </w:trPr>
        <w:tc>
          <w:tcPr>
            <w:tcW w:w="8380" w:type="dxa"/>
            <w:vAlign w:val="bottom"/>
            <w:gridSpan w:val="2"/>
          </w:tcPr>
          <w:p>
            <w:pPr>
              <w:spacing w:after="0"/>
              <w:rPr>
                <w:sz w:val="20"/>
                <w:szCs w:val="20"/>
                <w:color w:val="auto"/>
              </w:rPr>
            </w:pPr>
            <w:r>
              <w:rPr>
                <w:rFonts w:ascii="Arial" w:cs="Arial" w:eastAsia="Arial" w:hAnsi="Arial"/>
                <w:sz w:val="17"/>
                <w:szCs w:val="17"/>
                <w:color w:val="auto"/>
              </w:rPr>
              <w:t>ARTICLE VIII MISCELLANEOUS</w:t>
            </w:r>
          </w:p>
        </w:tc>
        <w:tc>
          <w:tcPr>
            <w:tcW w:w="30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408"/>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8.01.  Transfer of Records and Information</w:t>
            </w:r>
          </w:p>
        </w:tc>
        <w:tc>
          <w:tcPr>
            <w:tcW w:w="30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8.02.</w:t>
            </w:r>
          </w:p>
        </w:tc>
        <w:tc>
          <w:tcPr>
            <w:tcW w:w="6860" w:type="dxa"/>
            <w:vAlign w:val="bottom"/>
          </w:tcPr>
          <w:p>
            <w:pPr>
              <w:ind w:left="60"/>
              <w:spacing w:after="0"/>
              <w:rPr>
                <w:sz w:val="20"/>
                <w:szCs w:val="20"/>
                <w:color w:val="auto"/>
              </w:rPr>
            </w:pPr>
            <w:r>
              <w:rPr>
                <w:rFonts w:ascii="Arial" w:cs="Arial" w:eastAsia="Arial" w:hAnsi="Arial"/>
                <w:sz w:val="17"/>
                <w:szCs w:val="17"/>
                <w:color w:val="auto"/>
              </w:rPr>
              <w:t>Cooperation</w:t>
            </w:r>
          </w:p>
        </w:tc>
        <w:tc>
          <w:tcPr>
            <w:tcW w:w="30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8.03.</w:t>
            </w:r>
          </w:p>
        </w:tc>
        <w:tc>
          <w:tcPr>
            <w:tcW w:w="6860" w:type="dxa"/>
            <w:vAlign w:val="bottom"/>
          </w:tcPr>
          <w:p>
            <w:pPr>
              <w:ind w:left="60"/>
              <w:spacing w:after="0"/>
              <w:rPr>
                <w:sz w:val="20"/>
                <w:szCs w:val="20"/>
                <w:color w:val="auto"/>
              </w:rPr>
            </w:pPr>
            <w:r>
              <w:rPr>
                <w:rFonts w:ascii="Arial" w:cs="Arial" w:eastAsia="Arial" w:hAnsi="Arial"/>
                <w:sz w:val="17"/>
                <w:szCs w:val="17"/>
                <w:color w:val="auto"/>
              </w:rPr>
              <w:t>Employee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8.04.</w:t>
            </w:r>
          </w:p>
        </w:tc>
        <w:tc>
          <w:tcPr>
            <w:tcW w:w="6860" w:type="dxa"/>
            <w:vAlign w:val="bottom"/>
          </w:tcPr>
          <w:p>
            <w:pPr>
              <w:ind w:left="60"/>
              <w:spacing w:after="0"/>
              <w:rPr>
                <w:sz w:val="20"/>
                <w:szCs w:val="20"/>
                <w:color w:val="auto"/>
              </w:rPr>
            </w:pPr>
            <w:r>
              <w:rPr>
                <w:rFonts w:ascii="Arial" w:cs="Arial" w:eastAsia="Arial" w:hAnsi="Arial"/>
                <w:sz w:val="17"/>
                <w:szCs w:val="17"/>
                <w:color w:val="auto"/>
              </w:rPr>
              <w:t>Repayment Assets</w:t>
            </w:r>
          </w:p>
        </w:tc>
        <w:tc>
          <w:tcPr>
            <w:tcW w:w="30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8.05.</w:t>
            </w:r>
          </w:p>
        </w:tc>
        <w:tc>
          <w:tcPr>
            <w:tcW w:w="6860" w:type="dxa"/>
            <w:vAlign w:val="bottom"/>
          </w:tcPr>
          <w:p>
            <w:pPr>
              <w:ind w:left="60"/>
              <w:spacing w:after="0"/>
              <w:rPr>
                <w:sz w:val="20"/>
                <w:szCs w:val="20"/>
                <w:color w:val="auto"/>
              </w:rPr>
            </w:pPr>
            <w:r>
              <w:rPr>
                <w:rFonts w:ascii="Arial" w:cs="Arial" w:eastAsia="Arial" w:hAnsi="Arial"/>
                <w:sz w:val="17"/>
                <w:szCs w:val="17"/>
                <w:color w:val="auto"/>
              </w:rPr>
              <w:t>Compliance</w:t>
            </w:r>
          </w:p>
        </w:tc>
        <w:tc>
          <w:tcPr>
            <w:tcW w:w="30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8.06.  Conflict With Conveyance and Assumption Instruments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8.07.  Preservation of Rights</w:t>
            </w:r>
          </w:p>
        </w:tc>
        <w:tc>
          <w:tcPr>
            <w:tcW w:w="3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8.08.</w:t>
            </w:r>
          </w:p>
        </w:tc>
        <w:tc>
          <w:tcPr>
            <w:tcW w:w="6860" w:type="dxa"/>
            <w:vAlign w:val="bottom"/>
          </w:tcPr>
          <w:p>
            <w:pPr>
              <w:ind w:left="60"/>
              <w:spacing w:after="0"/>
              <w:rPr>
                <w:sz w:val="20"/>
                <w:szCs w:val="20"/>
                <w:color w:val="auto"/>
              </w:rPr>
            </w:pPr>
            <w:r>
              <w:rPr>
                <w:rFonts w:ascii="Arial" w:cs="Arial" w:eastAsia="Arial" w:hAnsi="Arial"/>
                <w:sz w:val="17"/>
                <w:szCs w:val="17"/>
                <w:color w:val="auto"/>
              </w:rPr>
              <w:t>Transition Services</w:t>
            </w:r>
          </w:p>
        </w:tc>
        <w:tc>
          <w:tcPr>
            <w:tcW w:w="3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8.09.</w:t>
            </w:r>
          </w:p>
        </w:tc>
        <w:tc>
          <w:tcPr>
            <w:tcW w:w="6860" w:type="dxa"/>
            <w:vAlign w:val="bottom"/>
          </w:tcPr>
          <w:p>
            <w:pPr>
              <w:ind w:left="60"/>
              <w:spacing w:after="0"/>
              <w:rPr>
                <w:sz w:val="20"/>
                <w:szCs w:val="20"/>
                <w:color w:val="auto"/>
              </w:rPr>
            </w:pPr>
            <w:r>
              <w:rPr>
                <w:rFonts w:ascii="Arial" w:cs="Arial" w:eastAsia="Arial" w:hAnsi="Arial"/>
                <w:sz w:val="17"/>
                <w:szCs w:val="17"/>
                <w:color w:val="auto"/>
              </w:rPr>
              <w:t>Reimbursement</w:t>
            </w:r>
          </w:p>
        </w:tc>
        <w:tc>
          <w:tcPr>
            <w:tcW w:w="3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8.10.  Matching Grant Plan and Employee Giving Campaign</w:t>
            </w:r>
          </w:p>
        </w:tc>
        <w:tc>
          <w:tcPr>
            <w:tcW w:w="3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8.11.  Clara Abbott Foundation</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8.12.  Not a Change in Control</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8.13.</w:t>
            </w:r>
          </w:p>
        </w:tc>
        <w:tc>
          <w:tcPr>
            <w:tcW w:w="6860" w:type="dxa"/>
            <w:vAlign w:val="bottom"/>
          </w:tcPr>
          <w:p>
            <w:pPr>
              <w:ind w:left="60"/>
              <w:spacing w:after="0"/>
              <w:rPr>
                <w:sz w:val="20"/>
                <w:szCs w:val="20"/>
                <w:color w:val="auto"/>
              </w:rPr>
            </w:pPr>
            <w:r>
              <w:rPr>
                <w:rFonts w:ascii="Arial" w:cs="Arial" w:eastAsia="Arial" w:hAnsi="Arial"/>
                <w:sz w:val="17"/>
                <w:szCs w:val="17"/>
                <w:color w:val="auto"/>
              </w:rPr>
              <w:t>Reverse Jurisdictions</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8.14.  Incorporation by Reference</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8.15.  Limitation on Enforcement</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8.16.  Further Assurances and Consents</w:t>
            </w:r>
          </w:p>
        </w:tc>
        <w:tc>
          <w:tcPr>
            <w:tcW w:w="30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8.17.  Third Party Consent</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0"/>
        </w:trPr>
        <w:tc>
          <w:tcPr>
            <w:tcW w:w="8380" w:type="dxa"/>
            <w:vAlign w:val="bottom"/>
            <w:gridSpan w:val="2"/>
          </w:tcPr>
          <w:p>
            <w:pPr>
              <w:ind w:left="520"/>
              <w:spacing w:after="0"/>
              <w:rPr>
                <w:sz w:val="20"/>
                <w:szCs w:val="20"/>
                <w:color w:val="auto"/>
              </w:rPr>
            </w:pPr>
            <w:r>
              <w:rPr>
                <w:rFonts w:ascii="Arial" w:cs="Arial" w:eastAsia="Arial" w:hAnsi="Arial"/>
                <w:sz w:val="17"/>
                <w:szCs w:val="17"/>
                <w:color w:val="auto"/>
              </w:rPr>
              <w:t>Section 8.18.  Effect if Distribution Does Not Occur</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0"/>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8.19.</w:t>
            </w:r>
          </w:p>
        </w:tc>
        <w:tc>
          <w:tcPr>
            <w:tcW w:w="6860" w:type="dxa"/>
            <w:vAlign w:val="bottom"/>
          </w:tcPr>
          <w:p>
            <w:pPr>
              <w:ind w:left="60"/>
              <w:spacing w:after="0"/>
              <w:rPr>
                <w:sz w:val="20"/>
                <w:szCs w:val="20"/>
                <w:color w:val="auto"/>
              </w:rPr>
            </w:pPr>
            <w:r>
              <w:rPr>
                <w:rFonts w:ascii="Arial" w:cs="Arial" w:eastAsia="Arial" w:hAnsi="Arial"/>
                <w:sz w:val="17"/>
                <w:szCs w:val="17"/>
                <w:color w:val="auto"/>
              </w:rPr>
              <w:t>Disputes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1520" w:type="dxa"/>
            <w:vAlign w:val="bottom"/>
          </w:tcPr>
          <w:p>
            <w:pPr>
              <w:ind w:left="520"/>
              <w:spacing w:after="0"/>
              <w:rPr>
                <w:sz w:val="20"/>
                <w:szCs w:val="20"/>
                <w:color w:val="auto"/>
              </w:rPr>
            </w:pPr>
            <w:r>
              <w:rPr>
                <w:rFonts w:ascii="Arial" w:cs="Arial" w:eastAsia="Arial" w:hAnsi="Arial"/>
                <w:sz w:val="17"/>
                <w:szCs w:val="17"/>
                <w:color w:val="auto"/>
                <w:w w:val="98"/>
              </w:rPr>
              <w:t>Section 8.20.</w:t>
            </w:r>
          </w:p>
        </w:tc>
        <w:tc>
          <w:tcPr>
            <w:tcW w:w="6860" w:type="dxa"/>
            <w:vAlign w:val="bottom"/>
          </w:tcPr>
          <w:p>
            <w:pPr>
              <w:ind w:left="60"/>
              <w:spacing w:after="0"/>
              <w:rPr>
                <w:sz w:val="20"/>
                <w:szCs w:val="20"/>
                <w:color w:val="auto"/>
              </w:rPr>
            </w:pPr>
            <w:r>
              <w:rPr>
                <w:rFonts w:ascii="Arial" w:cs="Arial" w:eastAsia="Arial" w:hAnsi="Arial"/>
                <w:sz w:val="17"/>
                <w:szCs w:val="17"/>
                <w:color w:val="auto"/>
              </w:rPr>
              <w:t>Schedules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EMPLOYEE MATTERS AGREEMENT</w:t>
      </w:r>
    </w:p>
    <w:p>
      <w:pPr>
        <w:spacing w:after="0" w:line="224"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This EMPLOYEE MATTERS AGREEMENT dated as of [·], 2012, is by and between ABBOTT LABORATORIES, an Illinois corporation (“</w:t>
      </w:r>
      <w:r>
        <w:rPr>
          <w:rFonts w:ascii="Arial" w:cs="Arial" w:eastAsia="Arial" w:hAnsi="Arial"/>
          <w:sz w:val="17"/>
          <w:szCs w:val="17"/>
          <w:u w:val="single" w:color="auto"/>
          <w:color w:val="auto"/>
        </w:rPr>
        <w:t>Abbott</w:t>
      </w:r>
      <w:r>
        <w:rPr>
          <w:rFonts w:ascii="Arial" w:cs="Arial" w:eastAsia="Arial" w:hAnsi="Arial"/>
          <w:sz w:val="17"/>
          <w:szCs w:val="17"/>
          <w:color w:val="auto"/>
        </w:rPr>
        <w:t>”), and ABBVIE INC., a Delaware corporation (“</w:t>
      </w:r>
      <w:r>
        <w:rPr>
          <w:rFonts w:ascii="Arial" w:cs="Arial" w:eastAsia="Arial" w:hAnsi="Arial"/>
          <w:sz w:val="17"/>
          <w:szCs w:val="17"/>
          <w:u w:val="single" w:color="auto"/>
          <w:color w:val="auto"/>
        </w:rPr>
        <w:t>AbbVie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WHEREAS, the Abbott Board (as defined below) has determined that it is appropriate and advisable to separate Abbott’s research-based pharmaceuticals business from its other businesses;</w:t>
      </w:r>
    </w:p>
    <w:p>
      <w:pPr>
        <w:spacing w:after="0" w:line="158" w:lineRule="exact"/>
        <w:rPr>
          <w:sz w:val="20"/>
          <w:szCs w:val="20"/>
          <w:color w:val="auto"/>
        </w:rPr>
      </w:pPr>
    </w:p>
    <w:p>
      <w:pPr>
        <w:jc w:val="both"/>
        <w:ind w:right="20" w:firstLine="1259"/>
        <w:spacing w:after="0" w:line="290" w:lineRule="auto"/>
        <w:rPr>
          <w:sz w:val="20"/>
          <w:szCs w:val="20"/>
          <w:color w:val="auto"/>
        </w:rPr>
      </w:pPr>
      <w:r>
        <w:rPr>
          <w:rFonts w:ascii="Arial" w:cs="Arial" w:eastAsia="Arial" w:hAnsi="Arial"/>
          <w:sz w:val="16"/>
          <w:szCs w:val="16"/>
          <w:color w:val="auto"/>
        </w:rPr>
        <w:t>WHEREAS, to achieve the foregoing, the Parties (as defined below) have executed a Separation and Distribution Agreement which provides for, among other things, the contribution from Abbott to AbbVie of certain Assets, the assumption by AbbVie of certain Liabilities (as defined below) from Abbott, the distribution by Abbott of AbbVie Common Stock (as defined below) to Abbott shareholders, and the execution and delivery of this Agreement (as defined below) and certain other agreements to facilitate and provide for the foregoing, in each case subject to the terms and conditions set forth therein;</w:t>
      </w:r>
    </w:p>
    <w:p>
      <w:pPr>
        <w:spacing w:after="0" w:line="159" w:lineRule="exact"/>
        <w:rPr>
          <w:sz w:val="20"/>
          <w:szCs w:val="20"/>
          <w:color w:val="auto"/>
        </w:rPr>
      </w:pPr>
    </w:p>
    <w:p>
      <w:pPr>
        <w:ind w:right="400" w:firstLine="1259"/>
        <w:spacing w:after="0" w:line="289" w:lineRule="auto"/>
        <w:rPr>
          <w:sz w:val="20"/>
          <w:szCs w:val="20"/>
          <w:color w:val="auto"/>
        </w:rPr>
      </w:pPr>
      <w:r>
        <w:rPr>
          <w:rFonts w:ascii="Arial" w:cs="Arial" w:eastAsia="Arial" w:hAnsi="Arial"/>
          <w:sz w:val="17"/>
          <w:szCs w:val="17"/>
          <w:color w:val="auto"/>
        </w:rPr>
        <w:t>WHEREAS, the Employees (as defined below) of the AbbVie Business (as defined below) are currently employed by the Abbott Group (as defined below) and are expected to become Employees of the AbbVie Group (as defined below); and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WHEREAS, this Agreement describes the principal employment, compensation and employee benefit plan arrangements between the Parties.</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NOW, THEREFORE, in consideration of the mutual agreements, provisions and covenants contained in this Agreement, the Parties hereby agree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left="160" w:right="480" w:firstLine="629"/>
        <w:spacing w:after="0" w:line="28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Defined Terms</w:t>
      </w:r>
      <w:r>
        <w:rPr>
          <w:rFonts w:ascii="Arial" w:cs="Arial" w:eastAsia="Arial" w:hAnsi="Arial"/>
          <w:sz w:val="17"/>
          <w:szCs w:val="17"/>
          <w:color w:val="auto"/>
        </w:rPr>
        <w:t>. The following capitalized terms as used in this Agreement shall have the meaning set forth below unless otherwise specified herein: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w:t>
      </w:r>
      <w:r>
        <w:rPr>
          <w:rFonts w:ascii="Arial" w:cs="Arial" w:eastAsia="Arial" w:hAnsi="Arial"/>
          <w:sz w:val="17"/>
          <w:szCs w:val="17"/>
          <w:color w:val="auto"/>
        </w:rPr>
        <w:t>” has the meaning set forth in the first sentence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ARP</w:t>
      </w:r>
      <w:r>
        <w:rPr>
          <w:rFonts w:ascii="Arial" w:cs="Arial" w:eastAsia="Arial" w:hAnsi="Arial"/>
          <w:sz w:val="17"/>
          <w:szCs w:val="17"/>
          <w:color w:val="auto"/>
        </w:rPr>
        <w:t>” means the Abbott Laboratories Annuity Retirement Plan.</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Benefit Plan</w:t>
      </w:r>
      <w:r>
        <w:rPr>
          <w:rFonts w:ascii="Arial" w:cs="Arial" w:eastAsia="Arial" w:hAnsi="Arial"/>
          <w:sz w:val="17"/>
          <w:szCs w:val="17"/>
          <w:color w:val="auto"/>
        </w:rPr>
        <w:t>” means a Benefit Plan sponsored by, maintained by, or contributed to by the Abbott Group, except that such term shall not include the Abbott-AbbVie MEPP.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Abbott Board</w:t>
      </w:r>
      <w:r>
        <w:rPr>
          <w:rFonts w:ascii="Arial" w:cs="Arial" w:eastAsia="Arial" w:hAnsi="Arial"/>
          <w:sz w:val="16"/>
          <w:szCs w:val="16"/>
          <w:color w:val="auto"/>
        </w:rPr>
        <w:t>” means the Abbott board of directors.</w:t>
      </w:r>
    </w:p>
    <w:p>
      <w:pPr>
        <w:sectPr>
          <w:pgSz w:w="11900" w:h="16838" w:orient="portrait"/>
          <w:cols w:equalWidth="0" w:num="1">
            <w:col w:w="11420"/>
          </w:cols>
          <w:pgMar w:left="240" w:top="127" w:right="239" w:bottom="0" w:gutter="0" w:footer="0" w:header="0"/>
          <w:type w:val="continuous"/>
        </w:sectPr>
      </w:pPr>
    </w:p>
    <w:bookmarkStart w:id="44" w:name="page45"/>
    <w:bookmarkEnd w:id="44"/>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Cash Profit Sharing Plan</w:t>
      </w:r>
      <w:r>
        <w:rPr>
          <w:rFonts w:ascii="Arial" w:cs="Arial" w:eastAsia="Arial" w:hAnsi="Arial"/>
          <w:sz w:val="17"/>
          <w:szCs w:val="17"/>
          <w:color w:val="auto"/>
        </w:rPr>
        <w:t>” means the Abbott Laboratories Cash Profit Sharing Plan.</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Common Shares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Compensation Committee</w:t>
      </w:r>
      <w:r>
        <w:rPr>
          <w:rFonts w:ascii="Arial" w:cs="Arial" w:eastAsia="Arial" w:hAnsi="Arial"/>
          <w:sz w:val="17"/>
          <w:szCs w:val="17"/>
          <w:color w:val="auto"/>
        </w:rPr>
        <w:t>” means the compensation committee of the Abbott Board.</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DCP</w:t>
      </w:r>
      <w:r>
        <w:rPr>
          <w:rFonts w:ascii="Arial" w:cs="Arial" w:eastAsia="Arial" w:hAnsi="Arial"/>
          <w:sz w:val="17"/>
          <w:szCs w:val="17"/>
          <w:color w:val="auto"/>
        </w:rPr>
        <w:t>” means the Abbott Laboratories Deferred Compensation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Directors’ Fee Plan</w:t>
      </w:r>
      <w:r>
        <w:rPr>
          <w:rFonts w:ascii="Arial" w:cs="Arial" w:eastAsia="Arial" w:hAnsi="Arial"/>
          <w:sz w:val="17"/>
          <w:szCs w:val="17"/>
          <w:color w:val="auto"/>
        </w:rPr>
        <w:t>” means the Abbott Laboratories Non-Employee Directors’ Fee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Abbott ESPP</w:t>
      </w:r>
      <w:r>
        <w:rPr>
          <w:rFonts w:ascii="Arial" w:cs="Arial" w:eastAsia="Arial" w:hAnsi="Arial"/>
          <w:sz w:val="16"/>
          <w:szCs w:val="16"/>
          <w:color w:val="auto"/>
        </w:rPr>
        <w:t>” means the Abbott Laboratories 2009 Employee Stock Purchase Plan for Non-U.S. Employees and any sub-plan established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Former Employee</w:t>
      </w:r>
      <w:r>
        <w:rPr>
          <w:rFonts w:ascii="Arial" w:cs="Arial" w:eastAsia="Arial" w:hAnsi="Arial"/>
          <w:sz w:val="17"/>
          <w:szCs w:val="17"/>
          <w:color w:val="auto"/>
        </w:rPr>
        <w:t>” means a Former Employee who is not an AbbVie Former Employee.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Group</w:t>
      </w:r>
      <w:r>
        <w:rPr>
          <w:rFonts w:ascii="Arial" w:cs="Arial" w:eastAsia="Arial" w:hAnsi="Arial"/>
          <w:sz w:val="17"/>
          <w:szCs w:val="17"/>
          <w:color w:val="auto"/>
        </w:rPr>
        <w:t>” means Abbott and its Subsidiaries (excluding, after the Distribution, any member of the AbbVie Group).</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Abbott Health and Welfare Plan</w:t>
      </w:r>
      <w:r>
        <w:rPr>
          <w:rFonts w:ascii="Arial" w:cs="Arial" w:eastAsia="Arial" w:hAnsi="Arial"/>
          <w:sz w:val="16"/>
          <w:szCs w:val="16"/>
          <w:color w:val="auto"/>
        </w:rPr>
        <w:t>” means a Health and Welfare Plan sponsored by, maintained by, or contributed to by the Abbott Group.</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KSP</w:t>
      </w:r>
      <w:r>
        <w:rPr>
          <w:rFonts w:ascii="Arial" w:cs="Arial" w:eastAsia="Arial" w:hAnsi="Arial"/>
          <w:sz w:val="17"/>
          <w:szCs w:val="17"/>
          <w:color w:val="auto"/>
        </w:rPr>
        <w:t>” means the Abbott Laboratories 401(k) Supplemental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Life Insurance Trust</w:t>
      </w:r>
      <w:r>
        <w:rPr>
          <w:rFonts w:ascii="Arial" w:cs="Arial" w:eastAsia="Arial" w:hAnsi="Arial"/>
          <w:sz w:val="17"/>
          <w:szCs w:val="17"/>
          <w:color w:val="auto"/>
        </w:rPr>
        <w:t>” means the Abbott Laboratories Life Insurance Trust.</w:t>
      </w:r>
    </w:p>
    <w:p>
      <w:pPr>
        <w:spacing w:after="0" w:line="224"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LTD Participant</w:t>
      </w:r>
      <w:r>
        <w:rPr>
          <w:rFonts w:ascii="Arial" w:cs="Arial" w:eastAsia="Arial" w:hAnsi="Arial"/>
          <w:sz w:val="17"/>
          <w:szCs w:val="17"/>
          <w:color w:val="auto"/>
        </w:rPr>
        <w:t>” means an Abbott Former Employee who is, as of the Distribution Date, receiving long-term disability benefits under the Abbott Laboratories Extended Disability Plan or the Abbott Laboratories Puerto Rico Long Term Disability Plan.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Management Incentive Plan</w:t>
      </w:r>
      <w:r>
        <w:rPr>
          <w:rFonts w:ascii="Arial" w:cs="Arial" w:eastAsia="Arial" w:hAnsi="Arial"/>
          <w:sz w:val="17"/>
          <w:szCs w:val="17"/>
          <w:color w:val="auto"/>
        </w:rPr>
        <w:t>” means the 1986 Abbott Laboratories Management Incentive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OMPP</w:t>
      </w:r>
      <w:r>
        <w:rPr>
          <w:rFonts w:ascii="Arial" w:cs="Arial" w:eastAsia="Arial" w:hAnsi="Arial"/>
          <w:sz w:val="17"/>
          <w:szCs w:val="17"/>
          <w:color w:val="auto"/>
        </w:rPr>
        <w:t>” means the Abbott Overseas Managers Pension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Performance Incentive Plan</w:t>
      </w:r>
      <w:r>
        <w:rPr>
          <w:rFonts w:ascii="Arial" w:cs="Arial" w:eastAsia="Arial" w:hAnsi="Arial"/>
          <w:sz w:val="17"/>
          <w:szCs w:val="17"/>
          <w:color w:val="auto"/>
        </w:rPr>
        <w:t>” means the 1998 Abbott Laboratories Performance Incentive Plan.</w:t>
      </w:r>
    </w:p>
    <w:p>
      <w:pPr>
        <w:spacing w:after="0" w:line="224" w:lineRule="exact"/>
        <w:rPr>
          <w:sz w:val="20"/>
          <w:szCs w:val="20"/>
          <w:color w:val="auto"/>
        </w:rPr>
      </w:pPr>
    </w:p>
    <w:p>
      <w:pPr>
        <w:ind w:right="6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Post-Distribution Stock Value</w:t>
      </w:r>
      <w:r>
        <w:rPr>
          <w:rFonts w:ascii="Arial" w:cs="Arial" w:eastAsia="Arial" w:hAnsi="Arial"/>
          <w:sz w:val="17"/>
          <w:szCs w:val="17"/>
          <w:color w:val="auto"/>
        </w:rPr>
        <w:t>” means the opening per-share price, as reported on the NYSE, of Abbott Common Shares on the Distribution Date (or, if the Distribution Date is not an NYSE trading day, on the first trading day following the Distribution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PR</w:t>
      </w:r>
      <w:r>
        <w:rPr>
          <w:rFonts w:ascii="Arial" w:cs="Arial" w:eastAsia="Arial" w:hAnsi="Arial"/>
          <w:sz w:val="17"/>
          <w:szCs w:val="17"/>
          <w:color w:val="auto"/>
        </w:rPr>
        <w:t>” means Abbott Healthcare (Puerto Rico) Ltd. or, where the context so requires, its appropriate Affiliate or Subsidiary that employs Employees in Puerto Rico.</w:t>
      </w:r>
    </w:p>
    <w:p>
      <w:pPr>
        <w:spacing w:after="0" w:line="158"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PR Health and Welfare Plan - New</w:t>
      </w:r>
      <w:r>
        <w:rPr>
          <w:rFonts w:ascii="Arial" w:cs="Arial" w:eastAsia="Arial" w:hAnsi="Arial"/>
          <w:sz w:val="17"/>
          <w:szCs w:val="17"/>
          <w:color w:val="auto"/>
        </w:rPr>
        <w:t xml:space="preserve">” means, following the Distribution, a PR Health and Welfare Plan sponsored by, maintained by, or contributed to by the Abbott Group and established pursuant to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PR Retirement Plan - New</w:t>
      </w:r>
      <w:r>
        <w:rPr>
          <w:rFonts w:ascii="Arial" w:cs="Arial" w:eastAsia="Arial" w:hAnsi="Arial"/>
          <w:sz w:val="17"/>
          <w:szCs w:val="17"/>
          <w:color w:val="auto"/>
        </w:rPr>
        <w:t xml:space="preserve">” means the Abbott Puerto Rico Retirement Plan established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PR SERP - New</w:t>
      </w:r>
      <w:r>
        <w:rPr>
          <w:rFonts w:ascii="Arial" w:cs="Arial" w:eastAsia="Arial" w:hAnsi="Arial"/>
          <w:sz w:val="17"/>
          <w:szCs w:val="17"/>
          <w:color w:val="auto"/>
        </w:rPr>
        <w:t xml:space="preserve">” means the Abbott Puerto Rico Supplemental Pension Plan established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PR SRP - New</w:t>
      </w:r>
      <w:r>
        <w:rPr>
          <w:rFonts w:ascii="Arial" w:cs="Arial" w:eastAsia="Arial" w:hAnsi="Arial"/>
          <w:sz w:val="17"/>
          <w:szCs w:val="17"/>
          <w:color w:val="auto"/>
        </w:rPr>
        <w:t xml:space="preserve">” means the Abbott Laboratories Stock Retirement Plan (Puerto Rico) established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Ratio</w:t>
      </w:r>
      <w:r>
        <w:rPr>
          <w:rFonts w:ascii="Arial" w:cs="Arial" w:eastAsia="Arial" w:hAnsi="Arial"/>
          <w:sz w:val="17"/>
          <w:szCs w:val="17"/>
          <w:color w:val="auto"/>
        </w:rPr>
        <w:t>” means the quotient obtained by dividing the Abbott Stock Value by the Abbott Post-Distribution Stock Value.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Retained Employee</w:t>
      </w:r>
      <w:r>
        <w:rPr>
          <w:rFonts w:ascii="Arial" w:cs="Arial" w:eastAsia="Arial" w:hAnsi="Arial"/>
          <w:sz w:val="17"/>
          <w:szCs w:val="17"/>
          <w:color w:val="auto"/>
        </w:rPr>
        <w:t>” means any Employee other than an AbbVie Employee.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Retiree Health Care Plan</w:t>
      </w:r>
      <w:r>
        <w:rPr>
          <w:rFonts w:ascii="Arial" w:cs="Arial" w:eastAsia="Arial" w:hAnsi="Arial"/>
          <w:sz w:val="17"/>
          <w:szCs w:val="17"/>
          <w:color w:val="auto"/>
        </w:rPr>
        <w:t>” means the Abbott Laboratories Retiree Health Care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Retiree Life Plan</w:t>
      </w:r>
      <w:r>
        <w:rPr>
          <w:rFonts w:ascii="Arial" w:cs="Arial" w:eastAsia="Arial" w:hAnsi="Arial"/>
          <w:sz w:val="17"/>
          <w:szCs w:val="17"/>
          <w:color w:val="auto"/>
        </w:rPr>
        <w:t>” means the Abbott Laboratories Retiree Life Insurance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SERP</w:t>
      </w:r>
      <w:r>
        <w:rPr>
          <w:rFonts w:ascii="Arial" w:cs="Arial" w:eastAsia="Arial" w:hAnsi="Arial"/>
          <w:sz w:val="17"/>
          <w:szCs w:val="17"/>
          <w:color w:val="auto"/>
        </w:rPr>
        <w:t>” means the Abbott Laboratories Supplemental Pension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SRP</w:t>
      </w:r>
      <w:r>
        <w:rPr>
          <w:rFonts w:ascii="Arial" w:cs="Arial" w:eastAsia="Arial" w:hAnsi="Arial"/>
          <w:sz w:val="17"/>
          <w:szCs w:val="17"/>
          <w:color w:val="auto"/>
        </w:rPr>
        <w:t>” means the Abbott Laboratories Stock Retirement Plan.</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Stock Programs</w:t>
      </w:r>
      <w:r>
        <w:rPr>
          <w:rFonts w:ascii="Arial" w:cs="Arial" w:eastAsia="Arial" w:hAnsi="Arial"/>
          <w:sz w:val="17"/>
          <w:szCs w:val="17"/>
          <w:color w:val="auto"/>
        </w:rPr>
        <w:t>” means, collectively, the Abbott Laboratories 2009 Incentive Stock Program, the Abbott Laboratories 1996 Incentive Stock Program, and any incentive compensation program or arrangement that governs the terms of equity-based incentive awards assumed by the Abbott Group in connection with a corporate transaction and that is maintained by the Abbott Group immediately prior to the Distribution Date, and any sub-plans established under those programs.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Stock Value</w:t>
      </w:r>
      <w:r>
        <w:rPr>
          <w:rFonts w:ascii="Arial" w:cs="Arial" w:eastAsia="Arial" w:hAnsi="Arial"/>
          <w:sz w:val="17"/>
          <w:szCs w:val="17"/>
          <w:color w:val="auto"/>
        </w:rPr>
        <w:t>” means the sum of the Abbott Post-Distribution Stock Value and the AbbVie Stock Value.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TPP</w:t>
      </w:r>
      <w:r>
        <w:rPr>
          <w:rFonts w:ascii="Arial" w:cs="Arial" w:eastAsia="Arial" w:hAnsi="Arial"/>
          <w:sz w:val="17"/>
          <w:szCs w:val="17"/>
          <w:color w:val="auto"/>
        </w:rPr>
        <w:t>” means the Abbott Laboratories Territorial Pension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Trust</w:t>
      </w:r>
      <w:r>
        <w:rPr>
          <w:rFonts w:ascii="Arial" w:cs="Arial" w:eastAsia="Arial" w:hAnsi="Arial"/>
          <w:sz w:val="17"/>
          <w:szCs w:val="17"/>
          <w:color w:val="auto"/>
        </w:rPr>
        <w:t>” means the Abbott Laboratories Annuity Retirement Trust.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 Value Factor</w:t>
      </w:r>
      <w:r>
        <w:rPr>
          <w:rFonts w:ascii="Arial" w:cs="Arial" w:eastAsia="Arial" w:hAnsi="Arial"/>
          <w:sz w:val="17"/>
          <w:szCs w:val="17"/>
          <w:color w:val="auto"/>
        </w:rPr>
        <w:t>” means the quotient obtained by dividing (i) the Abbott Post-Distribution Stock Value, by (ii) the sum of (A) the Adjusted AbbVie Stock Value and (B) the Abbott Post-Distribution Stock Value.</w:t>
      </w:r>
    </w:p>
    <w:p>
      <w:pPr>
        <w:sectPr>
          <w:pgSz w:w="11900" w:h="16838" w:orient="portrait"/>
          <w:cols w:equalWidth="0" w:num="1">
            <w:col w:w="11380"/>
          </w:cols>
          <w:pgMar w:left="240" w:top="337" w:right="279" w:bottom="0" w:gutter="0" w:footer="0" w:header="0"/>
        </w:sectPr>
      </w:pPr>
    </w:p>
    <w:bookmarkStart w:id="45" w:name="page46"/>
    <w:bookmarkEnd w:id="45"/>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Abbott-AbbVie MEPP</w:t>
      </w:r>
      <w:r>
        <w:rPr>
          <w:rFonts w:ascii="Arial" w:cs="Arial" w:eastAsia="Arial" w:hAnsi="Arial"/>
          <w:sz w:val="17"/>
          <w:szCs w:val="17"/>
          <w:color w:val="auto"/>
        </w:rPr>
        <w:t xml:space="preserve">” means the Abbott-AbbVie Multiple Employer Pension Plan established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which shall be in substantially the form set forth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w:t>
      </w:r>
      <w:r>
        <w:rPr>
          <w:rFonts w:ascii="Arial" w:cs="Arial" w:eastAsia="Arial" w:hAnsi="Arial"/>
          <w:sz w:val="17"/>
          <w:szCs w:val="17"/>
          <w:color w:val="auto"/>
        </w:rPr>
        <w:t>” has the meaning set forth in the first sentence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Award</w:t>
      </w:r>
      <w:r>
        <w:rPr>
          <w:rFonts w:ascii="Arial" w:cs="Arial" w:eastAsia="Arial" w:hAnsi="Arial"/>
          <w:sz w:val="17"/>
          <w:szCs w:val="17"/>
          <w:color w:val="auto"/>
        </w:rPr>
        <w:t xml:space="preserve">” means an AbbVie Option, AbbVie Restricted Stock Award, or AbbVie RSU Award granted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Benefit Plan</w:t>
      </w:r>
      <w:r>
        <w:rPr>
          <w:rFonts w:ascii="Arial" w:cs="Arial" w:eastAsia="Arial" w:hAnsi="Arial"/>
          <w:sz w:val="16"/>
          <w:szCs w:val="16"/>
          <w:color w:val="auto"/>
        </w:rPr>
        <w:t xml:space="preserve">” means, following the Distribution, each Benefit Plan sponsored by, maintained by, or contributed to by the AbbVie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 shall not include the Abbott-AbbVie MEPP,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term shall include, following the consummation of a Local Closing Transaction, each Benefit Plan sponsored by, maintained by, or contributed to by the applicable Deferred AbbVie Local Business.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Board</w:t>
      </w:r>
      <w:r>
        <w:rPr>
          <w:rFonts w:ascii="Arial" w:cs="Arial" w:eastAsia="Arial" w:hAnsi="Arial"/>
          <w:sz w:val="17"/>
          <w:szCs w:val="17"/>
          <w:color w:val="auto"/>
        </w:rPr>
        <w:t>” means the AbbVie board of directors.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Business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Cash Profit Sharing Plan</w:t>
      </w:r>
      <w:r>
        <w:rPr>
          <w:rFonts w:ascii="Arial" w:cs="Arial" w:eastAsia="Arial" w:hAnsi="Arial"/>
          <w:sz w:val="17"/>
          <w:szCs w:val="17"/>
          <w:color w:val="auto"/>
        </w:rPr>
        <w:t>” means the AbbVie Cash Profit Sharing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Common Stock</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DCP</w:t>
      </w:r>
      <w:r>
        <w:rPr>
          <w:rFonts w:ascii="Arial" w:cs="Arial" w:eastAsia="Arial" w:hAnsi="Arial"/>
          <w:sz w:val="17"/>
          <w:szCs w:val="17"/>
          <w:color w:val="auto"/>
        </w:rPr>
        <w:t>” means the AbbVie Deferred Compensation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Directors’ Fee Plan</w:t>
      </w:r>
      <w:r>
        <w:rPr>
          <w:rFonts w:ascii="Arial" w:cs="Arial" w:eastAsia="Arial" w:hAnsi="Arial"/>
          <w:sz w:val="17"/>
          <w:szCs w:val="17"/>
          <w:color w:val="auto"/>
        </w:rPr>
        <w:t>” means the AbbVie Non-Employee Directors’ Fee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Employee</w:t>
      </w:r>
      <w:r>
        <w:rPr>
          <w:rFonts w:ascii="Arial" w:cs="Arial" w:eastAsia="Arial" w:hAnsi="Arial"/>
          <w:sz w:val="17"/>
          <w:szCs w:val="17"/>
          <w:color w:val="auto"/>
        </w:rPr>
        <w:t>” means any Employee who is (i) employed by the AbbVie Group as of immediately prior to the Distribution Date,</w:t>
      </w:r>
    </w:p>
    <w:p>
      <w:pPr>
        <w:spacing w:after="0" w:line="26" w:lineRule="exact"/>
        <w:rPr>
          <w:sz w:val="20"/>
          <w:szCs w:val="20"/>
          <w:color w:val="auto"/>
        </w:rPr>
      </w:pPr>
    </w:p>
    <w:p>
      <w:pPr>
        <w:ind w:right="60" w:firstLine="5"/>
        <w:spacing w:after="0" w:line="280" w:lineRule="auto"/>
        <w:tabs>
          <w:tab w:leader="none" w:pos="25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designated prior to the Distribution Date by Abbott as an individual whose employment is to transfer (referred to internally by the Parties as “map”) from the Abbott Group to the AbbVie Group, (iii) hired by the Abbott Group on or after the Distribution Date (but prior to the consummation of the applicable Local Closing Transaction) who is primarily employed in connection with a Deferred AbbVie Local Business, or (iv) designated as an AbbVie Employee by joint agreement of the Parties (in all cases, other than an Employee who is designated by Abbott prior to the Distribution Date as intended not to transfer to the AbbVie Group). The Parties shall cooperate in good faith prior to the Distribution Date to develop procedures intended to identify clearly the Employees designated for transfer from the Abbott Group to the AbbVie Group and the Employees designated as intended to remain with the Abbott Group.</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ESPP</w:t>
      </w:r>
      <w:r>
        <w:rPr>
          <w:rFonts w:ascii="Arial" w:cs="Arial" w:eastAsia="Arial" w:hAnsi="Arial"/>
          <w:sz w:val="16"/>
          <w:szCs w:val="16"/>
          <w:color w:val="auto"/>
        </w:rPr>
        <w:t>” means the AbbVie 2013 Employee Stock Purchase Plan for Non-U.S. Employees and any sub-plan established thereunder.</w:t>
      </w:r>
    </w:p>
    <w:p>
      <w:pPr>
        <w:spacing w:after="0" w:line="236"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Former Employee</w:t>
      </w:r>
      <w:r>
        <w:rPr>
          <w:rFonts w:ascii="Arial" w:cs="Arial" w:eastAsia="Arial" w:hAnsi="Arial"/>
          <w:sz w:val="17"/>
          <w:szCs w:val="17"/>
          <w:color w:val="auto"/>
        </w:rPr>
        <w:t>” means a Former Employee who, immediately prior to such individual’s termination of employment with or by the Abbott Group, either (i) was designated by Abbott as an Employee whose employment was to transfer (“map”) to the AbbVie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Group or (ii) if not so designated by Abbott, was primarily employed or engaged in the AbbVie Business (other than a Former Employee who was designated by Abbott as intended to become an Abbott Retained Employee).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Group</w:t>
      </w:r>
      <w:r>
        <w:rPr>
          <w:rFonts w:ascii="Arial" w:cs="Arial" w:eastAsia="Arial" w:hAnsi="Arial"/>
          <w:sz w:val="17"/>
          <w:szCs w:val="17"/>
          <w:color w:val="auto"/>
        </w:rPr>
        <w:t>” means AbbVie and its Subsidiaries.</w:t>
      </w:r>
    </w:p>
    <w:p>
      <w:pPr>
        <w:spacing w:after="0" w:line="224"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Health and Welfare Plan</w:t>
      </w:r>
      <w:r>
        <w:rPr>
          <w:rFonts w:ascii="Arial" w:cs="Arial" w:eastAsia="Arial" w:hAnsi="Arial"/>
          <w:sz w:val="17"/>
          <w:szCs w:val="17"/>
          <w:color w:val="auto"/>
        </w:rPr>
        <w:t>” means, following the Distribution, a Health and Welfare Plan sponsored by, maintained by, or contributed to by the AbbVie Group.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ISP</w:t>
      </w:r>
      <w:r>
        <w:rPr>
          <w:rFonts w:ascii="Arial" w:cs="Arial" w:eastAsia="Arial" w:hAnsi="Arial"/>
          <w:sz w:val="17"/>
          <w:szCs w:val="17"/>
          <w:color w:val="auto"/>
        </w:rPr>
        <w:t>” means the AbbVie 2013 Incentive Stock Program.</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Life Insurance Trust</w:t>
      </w:r>
      <w:r>
        <w:rPr>
          <w:rFonts w:ascii="Arial" w:cs="Arial" w:eastAsia="Arial" w:hAnsi="Arial"/>
          <w:sz w:val="17"/>
          <w:szCs w:val="17"/>
          <w:color w:val="auto"/>
        </w:rPr>
        <w:t>” means the AbbVie Employee Insurance Trust.</w:t>
      </w:r>
    </w:p>
    <w:p>
      <w:pPr>
        <w:spacing w:after="0" w:line="224"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LTD Participant</w:t>
      </w:r>
      <w:r>
        <w:rPr>
          <w:rFonts w:ascii="Arial" w:cs="Arial" w:eastAsia="Arial" w:hAnsi="Arial"/>
          <w:sz w:val="17"/>
          <w:szCs w:val="17"/>
          <w:color w:val="auto"/>
        </w:rPr>
        <w:t>” means an AbbVie Former Employee who is, as of the Distribution Date, receiving long-term disability benefits under the Abbott Laboratories Extended Disability Plan or the Abbott Laboratories Puerto Rico Long Term Disability Plan.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OMPP</w:t>
      </w:r>
      <w:r>
        <w:rPr>
          <w:rFonts w:ascii="Arial" w:cs="Arial" w:eastAsia="Arial" w:hAnsi="Arial"/>
          <w:sz w:val="17"/>
          <w:szCs w:val="17"/>
          <w:color w:val="auto"/>
        </w:rPr>
        <w:t>” means the AbbVie Overseas Managers Pension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Pension Plan</w:t>
      </w:r>
      <w:r>
        <w:rPr>
          <w:rFonts w:ascii="Arial" w:cs="Arial" w:eastAsia="Arial" w:hAnsi="Arial"/>
          <w:sz w:val="17"/>
          <w:szCs w:val="17"/>
          <w:color w:val="auto"/>
        </w:rPr>
        <w:t>” means the AbbVie Pension Plan.</w:t>
      </w:r>
    </w:p>
    <w:p>
      <w:pPr>
        <w:spacing w:after="0" w:line="224" w:lineRule="exact"/>
        <w:rPr>
          <w:sz w:val="20"/>
          <w:szCs w:val="20"/>
          <w:color w:val="auto"/>
        </w:rPr>
      </w:pPr>
    </w:p>
    <w:p>
      <w:pPr>
        <w:ind w:right="6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w:t>
      </w:r>
      <w:r>
        <w:rPr>
          <w:rFonts w:ascii="Arial" w:cs="Arial" w:eastAsia="Arial" w:hAnsi="Arial"/>
          <w:sz w:val="17"/>
          <w:szCs w:val="17"/>
          <w:color w:val="auto"/>
        </w:rPr>
        <w:t>” means AbbVie Ltd. (formerly known as Abbott Pharmaceuticals (Puerto Rico) Ltd.) or, where the context so requires, its appropriate Affiliate or Subsidiary that employs Employees in Puerto Rico.</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PR Health and Welfare Plans</w:t>
      </w:r>
      <w:r>
        <w:rPr>
          <w:rFonts w:ascii="Arial" w:cs="Arial" w:eastAsia="Arial" w:hAnsi="Arial"/>
          <w:sz w:val="16"/>
          <w:szCs w:val="16"/>
          <w:color w:val="auto"/>
        </w:rPr>
        <w:t>” means the PR Health and Welfare Plans sponsored by, maintained by, or contributed to by the AbbVie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Group.</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PR Pension Plan</w:t>
      </w:r>
      <w:r>
        <w:rPr>
          <w:rFonts w:ascii="Arial" w:cs="Arial" w:eastAsia="Arial" w:hAnsi="Arial"/>
          <w:sz w:val="17"/>
          <w:szCs w:val="17"/>
          <w:color w:val="auto"/>
        </w:rPr>
        <w:t>” means the AbbVie Puerto Rico Pension Plan (formerly known as the Abbott Puerto Rico Retirement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PR Savings Plan</w:t>
      </w:r>
      <w:r>
        <w:rPr>
          <w:rFonts w:ascii="Arial" w:cs="Arial" w:eastAsia="Arial" w:hAnsi="Arial"/>
          <w:sz w:val="16"/>
          <w:szCs w:val="16"/>
          <w:color w:val="auto"/>
        </w:rPr>
        <w:t>” means the AbbVie Puerto Rico Savings Plan (formerly known as the Abbott Laboratories Stock Retirement Plan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(Puerto Rico)).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AbbVie PR SERP</w:t>
      </w:r>
      <w:r>
        <w:rPr>
          <w:rFonts w:ascii="Arial" w:cs="Arial" w:eastAsia="Arial" w:hAnsi="Arial"/>
          <w:sz w:val="16"/>
          <w:szCs w:val="16"/>
          <w:color w:val="auto"/>
        </w:rPr>
        <w:t>” means the AbbVie Puerto Rico Supplemental Pension Plan (formerly known as the Abbott Puerto Rico Supplemental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Pension Plan).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Ratio</w:t>
      </w:r>
      <w:r>
        <w:rPr>
          <w:rFonts w:ascii="Arial" w:cs="Arial" w:eastAsia="Arial" w:hAnsi="Arial"/>
          <w:sz w:val="17"/>
          <w:szCs w:val="17"/>
          <w:color w:val="auto"/>
        </w:rPr>
        <w:t>” means the quotient obtained by dividing the Abbott Stock Value by the AbbVie Stock Value.</w:t>
      </w:r>
    </w:p>
    <w:p>
      <w:pPr>
        <w:sectPr>
          <w:pgSz w:w="11900" w:h="16838" w:orient="portrait"/>
          <w:cols w:equalWidth="0" w:num="1">
            <w:col w:w="11380"/>
          </w:cols>
          <w:pgMar w:left="240" w:top="127" w:right="279" w:bottom="0" w:gutter="0" w:footer="0" w:header="0"/>
        </w:sectPr>
      </w:pPr>
    </w:p>
    <w:bookmarkStart w:id="46" w:name="page47"/>
    <w:bookmarkEnd w:id="46"/>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Savings Plan</w:t>
      </w:r>
      <w:r>
        <w:rPr>
          <w:rFonts w:ascii="Arial" w:cs="Arial" w:eastAsia="Arial" w:hAnsi="Arial"/>
          <w:sz w:val="17"/>
          <w:szCs w:val="17"/>
          <w:color w:val="auto"/>
        </w:rPr>
        <w:t>” means the AbbVie Savings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SERP</w:t>
      </w:r>
      <w:r>
        <w:rPr>
          <w:rFonts w:ascii="Arial" w:cs="Arial" w:eastAsia="Arial" w:hAnsi="Arial"/>
          <w:sz w:val="17"/>
          <w:szCs w:val="17"/>
          <w:color w:val="auto"/>
        </w:rPr>
        <w:t>” means the AbbVie Supplemental Pension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SSP</w:t>
      </w:r>
      <w:r>
        <w:rPr>
          <w:rFonts w:ascii="Arial" w:cs="Arial" w:eastAsia="Arial" w:hAnsi="Arial"/>
          <w:sz w:val="17"/>
          <w:szCs w:val="17"/>
          <w:color w:val="auto"/>
        </w:rPr>
        <w:t>” means the AbbVie Supplemental Savings Plan.</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Stock Value</w:t>
      </w:r>
      <w:r>
        <w:rPr>
          <w:rFonts w:ascii="Arial" w:cs="Arial" w:eastAsia="Arial" w:hAnsi="Arial"/>
          <w:sz w:val="17"/>
          <w:szCs w:val="17"/>
          <w:color w:val="auto"/>
        </w:rPr>
        <w:t>” means the opening per-share price, as reported on the NYSE, of AbbVie Common Stock on the Distribution Date (or, if the Distribution Date is not an NYSE trading day, on the first trading day following the Distribution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TPP</w:t>
      </w:r>
      <w:r>
        <w:rPr>
          <w:rFonts w:ascii="Arial" w:cs="Arial" w:eastAsia="Arial" w:hAnsi="Arial"/>
          <w:sz w:val="17"/>
          <w:szCs w:val="17"/>
          <w:color w:val="auto"/>
        </w:rPr>
        <w:t>” means the AbbVie Territorial Pension Plan.</w:t>
      </w:r>
    </w:p>
    <w:p>
      <w:pPr>
        <w:spacing w:after="0" w:line="224" w:lineRule="exact"/>
        <w:rPr>
          <w:sz w:val="20"/>
          <w:szCs w:val="20"/>
          <w:color w:val="auto"/>
        </w:rPr>
      </w:pPr>
    </w:p>
    <w:p>
      <w:pPr>
        <w:ind w:right="5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AbbVie Value Factor</w:t>
      </w:r>
      <w:r>
        <w:rPr>
          <w:rFonts w:ascii="Arial" w:cs="Arial" w:eastAsia="Arial" w:hAnsi="Arial"/>
          <w:sz w:val="17"/>
          <w:szCs w:val="17"/>
          <w:color w:val="auto"/>
        </w:rPr>
        <w:t>” means the quotient obtained by dividing (i) the Adjusted AbbVie Stock Value, by (ii) the sum of (A) the Adjusted AbbVie Stock Value and (B) the Abbott Post-Distribution Stock Value.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Abbott Award</w:t>
      </w:r>
      <w:r>
        <w:rPr>
          <w:rFonts w:ascii="Arial" w:cs="Arial" w:eastAsia="Arial" w:hAnsi="Arial"/>
          <w:sz w:val="17"/>
          <w:szCs w:val="17"/>
          <w:color w:val="auto"/>
        </w:rPr>
        <w:t>” means an Adjusted Abbott Option, Adjusted Abbott Restricted Stock Award, or Adjusted Abbott RSU Award.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AbbVie Stock Value</w:t>
      </w:r>
      <w:r>
        <w:rPr>
          <w:rFonts w:ascii="Arial" w:cs="Arial" w:eastAsia="Arial" w:hAnsi="Arial"/>
          <w:sz w:val="17"/>
          <w:szCs w:val="17"/>
          <w:color w:val="auto"/>
        </w:rPr>
        <w:t>” means the product obtained by multiplying (i) the AbbVie Stock Value times (ii) the Distribution Ratio.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Employee Matters Agreement and each of the Schedules hereto.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(i) “employee benefit plan,” as defined in ERISA Section 3(3) (whether or not such plan is subject to ERISA); and</w:t>
      </w:r>
    </w:p>
    <w:p>
      <w:pPr>
        <w:spacing w:after="0" w:line="38" w:lineRule="exact"/>
        <w:rPr>
          <w:sz w:val="20"/>
          <w:szCs w:val="20"/>
          <w:color w:val="auto"/>
        </w:rPr>
      </w:pPr>
    </w:p>
    <w:p>
      <w:pPr>
        <w:ind w:firstLine="5"/>
        <w:spacing w:after="0" w:line="278" w:lineRule="auto"/>
        <w:tabs>
          <w:tab w:leader="none" w:pos="25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employment, compensation, severance, salary continuation, bonus, thirteenth month, incentive, retirement, thrift, superannuation, savings, pension, workers’ compensation, termination benefit (including termination notice requirements), termination indemnity, other indemnification, supplemental unemployment benefit, redundancy pay, profit sharing, deferred compensation, stock ownership, stock purchase, stock option, stock appreciation right, restricted stock, “phantom” stock, performance share, restricted stock unit, other stock-based incentive, change in control, paid time off, perquisite, fringe benefit, vacation, disability, life, or other insurance, death benefit, hospitalization, medical, or other compensatory or benefit plan, program, fund, agreement, arrangement, or policy of any kind (whether written or oral, qualified or nonqualified, funded or unfunded, foreign or domestic, currently effective or terminated), and any trust, escrow or similar agreement related thereto, whether or not funded, excluding any plan, program, fund, agreement, arrangement, or policy (other than for workers’ compensation Liabilities) that is mandated by and maintained solely pursuant to applicable Law.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COBRA</w:t>
      </w:r>
      <w:r>
        <w:rPr>
          <w:rFonts w:ascii="Arial" w:cs="Arial" w:eastAsia="Arial" w:hAnsi="Arial"/>
          <w:sz w:val="17"/>
          <w:szCs w:val="17"/>
          <w:color w:val="auto"/>
        </w:rPr>
        <w:t>” means coverage required by Code Section 4980B or ERISA Section 601 et. seq.</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Conveyance and Assumption Instruments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AbbVie Local Business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Ratio</w:t>
      </w:r>
      <w:r>
        <w:rPr>
          <w:rFonts w:ascii="Arial" w:cs="Arial" w:eastAsia="Arial" w:hAnsi="Arial"/>
          <w:sz w:val="16"/>
          <w:szCs w:val="16"/>
          <w:color w:val="auto"/>
        </w:rPr>
        <w:t>” means the number of shares of AbbVie Common Stock distributed in the Distribution in respect of one Abbott Common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Share.</w:t>
      </w:r>
    </w:p>
    <w:p>
      <w:pPr>
        <w:spacing w:after="0" w:line="212" w:lineRule="exact"/>
        <w:rPr>
          <w:sz w:val="20"/>
          <w:szCs w:val="20"/>
          <w:color w:val="auto"/>
        </w:rPr>
      </w:pPr>
    </w:p>
    <w:p>
      <w:pPr>
        <w:ind w:right="80" w:firstLine="12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employee of the Abbott Group or the AbbVie Group, as applicable (not including any Former Employee), including any employee absent from work on account of vacation, jury duty, funeral leave, personal leave, sickness, short-term disability, long-term disability or workers’ compensation leave (in each case, unless treated as a separated employee for employment purposes), military leave, family leave, pay continuation leave, or other approved leave of absence or for whom an obligation to recall, rehire or otherwise return to employment exists under a contractual obligation or Law.</w:t>
      </w:r>
    </w:p>
    <w:p>
      <w:pPr>
        <w:spacing w:after="0" w:line="159"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Agreement</w:t>
      </w:r>
      <w:r>
        <w:rPr>
          <w:rFonts w:ascii="Arial" w:cs="Arial" w:eastAsia="Arial" w:hAnsi="Arial"/>
          <w:sz w:val="17"/>
          <w:szCs w:val="17"/>
          <w:color w:val="auto"/>
        </w:rPr>
        <w:t>” means an employment contract between a member of the Abbott Group and an Employee, including, without limitation, the U.S. standard-form employee agreement customarily signed by certain Employees of the Abbott Group.</w:t>
      </w:r>
    </w:p>
    <w:p>
      <w:pPr>
        <w:spacing w:after="0" w:line="158" w:lineRule="exact"/>
        <w:rPr>
          <w:sz w:val="20"/>
          <w:szCs w:val="20"/>
          <w:color w:val="auto"/>
        </w:rPr>
      </w:pPr>
    </w:p>
    <w:p>
      <w:pPr>
        <w:ind w:right="30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Recoupment Asset</w:t>
      </w:r>
      <w:r>
        <w:rPr>
          <w:rFonts w:ascii="Arial" w:cs="Arial" w:eastAsia="Arial" w:hAnsi="Arial"/>
          <w:sz w:val="16"/>
          <w:szCs w:val="16"/>
          <w:color w:val="auto"/>
        </w:rPr>
        <w:t>” means an employer’s right to repayment from an employee in respect of a tax equalization payment, sign-on bonus payment, relocation expense payment, tuition payment, reimbursement, loan, or other similar item, including any agreement related thereto.</w:t>
      </w:r>
    </w:p>
    <w:p>
      <w:pPr>
        <w:spacing w:after="0" w:line="13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Tax</w:t>
      </w:r>
      <w:r>
        <w:rPr>
          <w:rFonts w:ascii="Arial" w:cs="Arial" w:eastAsia="Arial" w:hAnsi="Arial"/>
          <w:sz w:val="17"/>
          <w:szCs w:val="17"/>
          <w:color w:val="auto"/>
        </w:rPr>
        <w:t>” means withholding, payroll, social security, workers’ compensation, unemployment, disability and any similar tax imposed by any Tax Authority or social security authority, and any interest, penalties, additions to tax, or additional amounts with respect to the foregoing imposed on any taxpayer or consolidated, combined, or unitary group of taxpayers. With respect to any Employment Tax, the term “</w:t>
      </w:r>
      <w:r>
        <w:rPr>
          <w:rFonts w:ascii="Arial" w:cs="Arial" w:eastAsia="Arial" w:hAnsi="Arial"/>
          <w:sz w:val="17"/>
          <w:szCs w:val="17"/>
          <w:u w:val="single" w:color="auto"/>
          <w:color w:val="auto"/>
        </w:rPr>
        <w:t>Tax Authority</w:t>
      </w:r>
      <w:r>
        <w:rPr>
          <w:rFonts w:ascii="Arial" w:cs="Arial" w:eastAsia="Arial" w:hAnsi="Arial"/>
          <w:sz w:val="17"/>
          <w:szCs w:val="17"/>
          <w:color w:val="auto"/>
        </w:rPr>
        <w:t>” means the governmental entity or political subdivision thereof that imposes such Employment Tax, and the agency (if any) charged with the collection of such Employment Tax for such entity or subdivision.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U.S. Employee Retirement Income Security Act of 1974, as amended.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ESOP</w:t>
      </w:r>
      <w:r>
        <w:rPr>
          <w:rFonts w:ascii="Arial" w:cs="Arial" w:eastAsia="Arial" w:hAnsi="Arial"/>
          <w:sz w:val="17"/>
          <w:szCs w:val="17"/>
          <w:color w:val="auto"/>
        </w:rPr>
        <w:t>” means an employee stock ownership plan, as defined in ERISA Section 407(d)(6) and Code Section 4975(e)(7).</w:t>
      </w:r>
    </w:p>
    <w:p>
      <w:pPr>
        <w:sectPr>
          <w:pgSz w:w="11900" w:h="16838" w:orient="portrait"/>
          <w:cols w:equalWidth="0" w:num="1">
            <w:col w:w="11400"/>
          </w:cols>
          <w:pgMar w:left="240" w:top="127" w:right="259" w:bottom="0" w:gutter="0" w:footer="0" w:header="0"/>
        </w:sectPr>
      </w:pPr>
    </w:p>
    <w:bookmarkStart w:id="47" w:name="page48"/>
    <w:bookmarkEnd w:id="47"/>
    <w:p>
      <w:pPr>
        <w:ind w:right="2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Former Employee</w:t>
      </w:r>
      <w:r>
        <w:rPr>
          <w:rFonts w:ascii="Arial" w:cs="Arial" w:eastAsia="Arial" w:hAnsi="Arial"/>
          <w:sz w:val="17"/>
          <w:szCs w:val="17"/>
          <w:color w:val="auto"/>
        </w:rPr>
        <w:t>” means any individual whose employment with the Abbott Group terminated on or prior to the Distribution Date, excluding any employee absent from work immediately prior to the Distribution Date on account of vacation, jury duty, funeral leave, personal leave, sickness, short-term disability, long-term disability or workers’ compensation leave (in each case, unless treated as a separated employee for employment purposes), military leave, family leave, pay continuation leave, or other approved leave of absence or for whom an obligation to recall, rehire or otherwise return to employment exists under a contractual obligation or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and Welfare Plan</w:t>
      </w:r>
      <w:r>
        <w:rPr>
          <w:rFonts w:ascii="Arial" w:cs="Arial" w:eastAsia="Arial" w:hAnsi="Arial"/>
          <w:sz w:val="16"/>
          <w:szCs w:val="16"/>
          <w:color w:val="auto"/>
        </w:rPr>
        <w:t>” means any Benefit Plan established or maintained to provide, for Employees or Former Employees who work primarily in the United States or their beneficiaries, through the purchase of insurance or otherwise, medical, dental, prescription, vision, short-term disability, long-term disability, death benefits, life insurance, accidental death and dismemberment insurance, business travel accident insurance, employee assistance program, group legal services, wellness, cafeteria (including premium payment, health care flexible spending account, and dependent care flexible spending account components), travel reimbursement, transportation, vacation benefits, apprenticeship or other training programs, day care centers, or prepaid legal services benefits, including any “employee welfare benefit plan” (as defined in ERISA Section 3(1)) that is not a severance plan.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HIPAA</w:t>
      </w:r>
      <w:r>
        <w:rPr>
          <w:rFonts w:ascii="Arial" w:cs="Arial" w:eastAsia="Arial" w:hAnsi="Arial"/>
          <w:sz w:val="17"/>
          <w:szCs w:val="17"/>
          <w:color w:val="auto"/>
        </w:rPr>
        <w:t>” means the Health Insurance Portability and Accountability Act of 1996, as amended.</w:t>
      </w:r>
    </w:p>
    <w:p>
      <w:pPr>
        <w:spacing w:after="0" w:line="224" w:lineRule="exact"/>
        <w:rPr>
          <w:sz w:val="20"/>
          <w:szCs w:val="20"/>
          <w:color w:val="auto"/>
        </w:rPr>
      </w:pPr>
    </w:p>
    <w:p>
      <w:pPr>
        <w:ind w:right="40" w:firstLine="125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Incurred Claim</w:t>
      </w:r>
      <w:r>
        <w:rPr>
          <w:rFonts w:ascii="Arial" w:cs="Arial" w:eastAsia="Arial" w:hAnsi="Arial"/>
          <w:sz w:val="15"/>
          <w:szCs w:val="15"/>
          <w:color w:val="auto"/>
        </w:rPr>
        <w:t>” means a Liability related to services or benefits provided under a Benefit Plan, and shall be deemed to be incurred: (i) with respect to medical, dental, vision, and prescription drug benefits, upon the rendering of services giving rise to such Liability; (ii) with respect to death benefits, life insurance, accidental death and dismemberment insurance, and business travel accident insurance, upon the occurrence of the event giving rise to such Liability;</w:t>
      </w:r>
    </w:p>
    <w:p>
      <w:pPr>
        <w:spacing w:after="0" w:line="1" w:lineRule="exact"/>
        <w:rPr>
          <w:sz w:val="20"/>
          <w:szCs w:val="20"/>
          <w:color w:val="auto"/>
        </w:rPr>
      </w:pPr>
    </w:p>
    <w:p>
      <w:pPr>
        <w:ind w:right="80" w:firstLine="5"/>
        <w:spacing w:after="0" w:line="266" w:lineRule="auto"/>
        <w:tabs>
          <w:tab w:leader="none" w:pos="30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with respect to disability benefits, upon the date of disability, as determined by the disability benefit insurance carrier or claim administrator, giving rise to such Liability; (iv) with respect to a period of continuous hospitalization, upon the date of admission to the hospital; and (v) with respect to tuition reimbursement or adoption assistance, upon completion of the requirements for such reimbursement or assistance, whichever is applicable.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Closing Transaction</w:t>
      </w:r>
      <w:r>
        <w:rPr>
          <w:rFonts w:ascii="Arial" w:cs="Arial" w:eastAsia="Arial" w:hAnsi="Arial"/>
          <w:sz w:val="17"/>
          <w:szCs w:val="17"/>
          <w:color w:val="auto"/>
        </w:rPr>
        <w:t>” means the local closing transaction involving a Deferred AbbVie Local Business.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LTD Participant</w:t>
      </w:r>
      <w:r>
        <w:rPr>
          <w:rFonts w:ascii="Arial" w:cs="Arial" w:eastAsia="Arial" w:hAnsi="Arial"/>
          <w:sz w:val="17"/>
          <w:szCs w:val="17"/>
          <w:color w:val="auto"/>
        </w:rPr>
        <w:t>” means a Former Employee who is either an Abbott LTD Participant or an AbbVie LTD Participant.</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Abbott Benefit Plan</w:t>
      </w:r>
      <w:r>
        <w:rPr>
          <w:rFonts w:ascii="Arial" w:cs="Arial" w:eastAsia="Arial" w:hAnsi="Arial"/>
          <w:sz w:val="17"/>
          <w:szCs w:val="17"/>
          <w:color w:val="auto"/>
        </w:rPr>
        <w:t>” means an Abbott Benefit Plan established, maintained, or contributed to by the Abbott Group that is primarily for the benefit of Employees or Former Employees who work primarily outside of the United States.</w:t>
      </w:r>
    </w:p>
    <w:p>
      <w:pPr>
        <w:spacing w:after="0" w:line="158" w:lineRule="exact"/>
        <w:rPr>
          <w:sz w:val="20"/>
          <w:szCs w:val="20"/>
          <w:color w:val="auto"/>
        </w:rPr>
      </w:pPr>
    </w:p>
    <w:p>
      <w:pPr>
        <w:ind w:right="6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AbbVie Benefit Plan</w:t>
      </w:r>
      <w:r>
        <w:rPr>
          <w:rFonts w:ascii="Arial" w:cs="Arial" w:eastAsia="Arial" w:hAnsi="Arial"/>
          <w:sz w:val="17"/>
          <w:szCs w:val="17"/>
          <w:color w:val="auto"/>
        </w:rPr>
        <w:t>” means an AbbVie Benefit Plan established, maintained, or contributed to by the AbbVie Group that is primarily for the benefit of Employees or Former Employees who work primarily outside of the United States.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AbbVie Employee</w:t>
      </w:r>
      <w:r>
        <w:rPr>
          <w:rFonts w:ascii="Arial" w:cs="Arial" w:eastAsia="Arial" w:hAnsi="Arial"/>
          <w:sz w:val="17"/>
          <w:szCs w:val="17"/>
          <w:color w:val="auto"/>
        </w:rPr>
        <w:t>” means an AbbVie Employee who works primarily outside of the United States or primarily in Puerto Rico.</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means (i) when immediately preceded by “Abbott,” an option to purchase one or more Abbott Common Shares granted under an Abbott Stock Program and outstanding immediately prior to the Distribution Date (whether or not then exercisable); (ii) when immediately preceded by “Adjusted Abbott,” an option to purchase one or more Abbott Common Shares adjusted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(iii) when immediately preceded by “AbbVie,” an option to purchase one or more shares of AbbVie Common Stock granted by AbbVie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means the parties to this Agreement.</w:t>
      </w:r>
    </w:p>
    <w:p>
      <w:pPr>
        <w:spacing w:after="0" w:line="224"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 for Former BASF and Former Solvay Employees</w:t>
      </w:r>
      <w:r>
        <w:rPr>
          <w:rFonts w:ascii="Arial" w:cs="Arial" w:eastAsia="Arial" w:hAnsi="Arial"/>
          <w:sz w:val="17"/>
          <w:szCs w:val="17"/>
          <w:color w:val="auto"/>
        </w:rPr>
        <w:t>” means the Abbott Laboratories Pension Plan for Former BASF and Former Solvay Employees.</w:t>
      </w:r>
    </w:p>
    <w:p>
      <w:pPr>
        <w:spacing w:after="0" w:line="158"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Post-Distribution AbbVie Employee</w:t>
      </w:r>
      <w:r>
        <w:rPr>
          <w:rFonts w:ascii="Arial" w:cs="Arial" w:eastAsia="Arial" w:hAnsi="Arial"/>
          <w:sz w:val="17"/>
          <w:szCs w:val="17"/>
          <w:color w:val="auto"/>
        </w:rPr>
        <w:t>” means an AbbVie Employee whose intended transfer from the Abbott Group to the AbbVie Group in connection with the Distribution is to occur after the Distribution Date.</w:t>
      </w:r>
    </w:p>
    <w:p>
      <w:pPr>
        <w:spacing w:after="0" w:line="158"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 Health and Welfare Plans</w:t>
      </w:r>
      <w:r>
        <w:rPr>
          <w:rFonts w:ascii="Arial" w:cs="Arial" w:eastAsia="Arial" w:hAnsi="Arial"/>
          <w:sz w:val="16"/>
          <w:szCs w:val="16"/>
          <w:color w:val="auto"/>
        </w:rPr>
        <w:t>” means any and all Benefit Plans established or maintained to provide, for Employees or Former Employees who work primarily in Puerto Rico or their beneficiaries, through the purchase of insurance or otherwise, medical, dental, prescription, vision, short-term disability, long-term disability, death benefits, life insurance, accidental death and dismemberment insurance, business travel accident insurance, employee assistance program, group legal services, wellness, cafeteria (including premium payment, health care flexible spending account, and dependent care flexible spending account components), travel reimbursement, transportation, vacation benefits, apprenticeship or other training programs, day care centers, or prepaid legal services benefits, including any “employee welfare benefit plan” (as defined in ERISA Section 3(1)) that is not a severance plan.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Cycle</w:t>
      </w:r>
      <w:r>
        <w:rPr>
          <w:rFonts w:ascii="Arial" w:cs="Arial" w:eastAsia="Arial" w:hAnsi="Arial"/>
          <w:sz w:val="17"/>
          <w:szCs w:val="17"/>
          <w:color w:val="auto"/>
        </w:rPr>
        <w:t>” has the meaning set forth in the Abbott ESPP.</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Date</w:t>
      </w:r>
      <w:r>
        <w:rPr>
          <w:rFonts w:ascii="Arial" w:cs="Arial" w:eastAsia="Arial" w:hAnsi="Arial"/>
          <w:sz w:val="17"/>
          <w:szCs w:val="17"/>
          <w:color w:val="auto"/>
        </w:rPr>
        <w:t>” has the meaning set forth in the Abbott ESPP.</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QDRO</w:t>
      </w:r>
      <w:r>
        <w:rPr>
          <w:rFonts w:ascii="Arial" w:cs="Arial" w:eastAsia="Arial" w:hAnsi="Arial"/>
          <w:sz w:val="17"/>
          <w:szCs w:val="17"/>
          <w:color w:val="auto"/>
        </w:rPr>
        <w:t>” means a qualified domestic relations order within the meaning of ERISA Section 206(d) and Code Section 414(p).</w:t>
      </w:r>
    </w:p>
    <w:p>
      <w:pPr>
        <w:spacing w:after="0" w:line="224"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Rehired Employee</w:t>
      </w:r>
      <w:r>
        <w:rPr>
          <w:rFonts w:ascii="Arial" w:cs="Arial" w:eastAsia="Arial" w:hAnsi="Arial"/>
          <w:sz w:val="16"/>
          <w:szCs w:val="16"/>
          <w:color w:val="auto"/>
        </w:rPr>
        <w:t xml:space="preserve">” means (i) a Transferred Employee who terminates employment with the AbbVie Group after the Distribution Date (or, with respect to a Post-Distribution AbbVie Employee employed by a Deferred AbbVie Local Business, after the consummation of the applicable Local Closing Transaction) and is subsequently rehired by the Abbott Group during the Transition Period (including an individual whose employment is transferred pursuant to the procedures contemplated by </w:t>
      </w:r>
      <w:r>
        <w:rPr>
          <w:rFonts w:ascii="Arial" w:cs="Arial" w:eastAsia="Arial" w:hAnsi="Arial"/>
          <w:sz w:val="16"/>
          <w:szCs w:val="16"/>
          <w:u w:val="single" w:color="auto"/>
          <w:color w:val="auto"/>
        </w:rPr>
        <w:t>Section 2.04(b)</w:t>
      </w:r>
      <w:r>
        <w:rPr>
          <w:rFonts w:ascii="Arial" w:cs="Arial" w:eastAsia="Arial" w:hAnsi="Arial"/>
          <w:sz w:val="16"/>
          <w:szCs w:val="16"/>
          <w:color w:val="auto"/>
        </w:rPr>
        <w:t>); (ii) an Abbott Retained Employee who terminates employment with the Abbott Group after the Distribution Date and is subsequently hired by the AbbVie Group during the Transition Period (including an individual whose employment is transferred pursuant to the procedures</w:t>
      </w:r>
    </w:p>
    <w:p>
      <w:pPr>
        <w:sectPr>
          <w:pgSz w:w="11900" w:h="16838" w:orient="portrait"/>
          <w:cols w:equalWidth="0" w:num="1">
            <w:col w:w="11420"/>
          </w:cols>
          <w:pgMar w:left="240" w:top="127" w:right="239" w:bottom="0" w:gutter="0" w:footer="0" w:header="0"/>
        </w:sectPr>
      </w:pPr>
    </w:p>
    <w:bookmarkStart w:id="48" w:name="page49"/>
    <w:bookmarkEnd w:id="48"/>
    <w:p>
      <w:pPr>
        <w:ind w:right="280"/>
        <w:spacing w:after="0" w:line="289" w:lineRule="auto"/>
        <w:rPr>
          <w:sz w:val="20"/>
          <w:szCs w:val="20"/>
          <w:color w:val="auto"/>
        </w:rPr>
      </w:pPr>
      <w:r>
        <w:rPr>
          <w:rFonts w:ascii="Arial" w:cs="Arial" w:eastAsia="Arial" w:hAnsi="Arial"/>
          <w:sz w:val="17"/>
          <w:szCs w:val="17"/>
          <w:color w:val="auto"/>
        </w:rPr>
        <w:t xml:space="preserve">contemplated by </w:t>
      </w:r>
      <w:r>
        <w:rPr>
          <w:rFonts w:ascii="Arial" w:cs="Arial" w:eastAsia="Arial" w:hAnsi="Arial"/>
          <w:sz w:val="17"/>
          <w:szCs w:val="17"/>
          <w:u w:val="single" w:color="auto"/>
          <w:color w:val="auto"/>
        </w:rPr>
        <w:t>Section 2.04(b)</w:t>
      </w:r>
      <w:r>
        <w:rPr>
          <w:rFonts w:ascii="Arial" w:cs="Arial" w:eastAsia="Arial" w:hAnsi="Arial"/>
          <w:sz w:val="17"/>
          <w:szCs w:val="17"/>
          <w:color w:val="auto"/>
        </w:rPr>
        <w:t>); or (iii) a Former Employee who commences employment with the Abbott Group or the AbbVie Group during the Transition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Award</w:t>
      </w:r>
      <w:r>
        <w:rPr>
          <w:rFonts w:ascii="Arial" w:cs="Arial" w:eastAsia="Arial" w:hAnsi="Arial"/>
          <w:sz w:val="17"/>
          <w:szCs w:val="17"/>
          <w:color w:val="auto"/>
        </w:rPr>
        <w:t xml:space="preserve">” means (i) when immediately preceded by “Abbott,” a restricted stock award granted pursuant to an Abbott Stock Program and outstanding immediately prior to the Distribution Date; (ii) when immediately preceded by “Adjusted Abbott,” an Abbott Restricted Stock Award adjusted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(iii) when immediately preceded by “AbbVie,” a restricted stock award granted by AbbVie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RSU Award</w:t>
      </w:r>
      <w:r>
        <w:rPr>
          <w:rFonts w:ascii="Arial" w:cs="Arial" w:eastAsia="Arial" w:hAnsi="Arial"/>
          <w:sz w:val="17"/>
          <w:szCs w:val="17"/>
          <w:color w:val="auto"/>
        </w:rPr>
        <w:t xml:space="preserve">” means (i) when immediately preceded by “Abbott,” a restricted stock unit award granted pursuant to an Abbott Stock Program and outstanding immediately prior to the Distribution Date; (ii) when immediately preceded by “Adjusted Abbott,” a restricted stock unit award granted pursuant to an Abbott Stock Program adjusted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(iii) when immediately preceded by “AbbVie,” a restricted stock unit award granted by AbbVie in accordance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means the Separation and Distribution Agreement by and between the Parties, dated [·].</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Date</w:t>
      </w:r>
      <w:r>
        <w:rPr>
          <w:rFonts w:ascii="Arial" w:cs="Arial" w:eastAsia="Arial" w:hAnsi="Arial"/>
          <w:sz w:val="16"/>
          <w:szCs w:val="16"/>
          <w:color w:val="auto"/>
        </w:rPr>
        <w:t>” means, with respect to each (i) AbbVie Employee (other than a Post-Distribution AbbVie Employee), the Distribution Date; and</w:t>
      </w:r>
    </w:p>
    <w:p>
      <w:pPr>
        <w:spacing w:after="0" w:line="38" w:lineRule="exact"/>
        <w:rPr>
          <w:sz w:val="20"/>
          <w:szCs w:val="20"/>
          <w:color w:val="auto"/>
        </w:rPr>
      </w:pPr>
    </w:p>
    <w:p>
      <w:pPr>
        <w:ind w:right="420" w:firstLine="5"/>
        <w:spacing w:after="0" w:line="275" w:lineRule="auto"/>
        <w:tabs>
          <w:tab w:leader="none" w:pos="25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Post-Distribution AbbVie Employee, the date on which such person first becomes employed by the AbbVie Group following the Distribution Date. With respect to LTD Participants, where the Transfer Date concept is relevant, “Transfer Date” means the Distribution Date.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Employee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2.02(a)(i)</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Flexible Spending Account Balances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5.01(d)(iii)</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Non-U.S. Employee</w:t>
      </w:r>
      <w:r>
        <w:rPr>
          <w:rFonts w:ascii="Arial" w:cs="Arial" w:eastAsia="Arial" w:hAnsi="Arial"/>
          <w:sz w:val="16"/>
          <w:szCs w:val="16"/>
          <w:color w:val="auto"/>
        </w:rPr>
        <w:t>” means a Transferred Employee who works primarily outside of the United States or primarily in Puerto Rico.</w:t>
      </w:r>
    </w:p>
    <w:p>
      <w:pPr>
        <w:spacing w:after="0" w:line="236" w:lineRule="exact"/>
        <w:rPr>
          <w:sz w:val="20"/>
          <w:szCs w:val="20"/>
          <w:color w:val="auto"/>
        </w:rPr>
      </w:pPr>
    </w:p>
    <w:p>
      <w:pPr>
        <w:ind w:right="6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Period</w:t>
      </w:r>
      <w:r>
        <w:rPr>
          <w:rFonts w:ascii="Arial" w:cs="Arial" w:eastAsia="Arial" w:hAnsi="Arial"/>
          <w:sz w:val="17"/>
          <w:szCs w:val="17"/>
          <w:color w:val="auto"/>
        </w:rPr>
        <w:t>” means the period beginning on the Distribution Date and ending on the date that is the 30-month anniversary of the Distribution Date.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Services Agreements</w:t>
      </w:r>
      <w:r>
        <w:rPr>
          <w:rFonts w:ascii="Arial" w:cs="Arial" w:eastAsia="Arial" w:hAnsi="Arial"/>
          <w:sz w:val="17"/>
          <w:szCs w:val="17"/>
          <w:color w:val="auto"/>
        </w:rPr>
        <w:t>” has the meaning set forth in the Separation and Distribution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GENERAL PRINCIPLES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Allocation of Liabilities</w:t>
      </w:r>
      <w:r>
        <w:rPr>
          <w:rFonts w:ascii="Arial" w:cs="Arial" w:eastAsia="Arial" w:hAnsi="Arial"/>
          <w:sz w:val="17"/>
          <w:szCs w:val="17"/>
          <w:color w:val="auto"/>
        </w:rPr>
        <w:t>.</w:t>
      </w:r>
    </w:p>
    <w:p>
      <w:pPr>
        <w:spacing w:after="0" w:line="224" w:lineRule="exact"/>
        <w:rPr>
          <w:sz w:val="20"/>
          <w:szCs w:val="20"/>
          <w:color w:val="auto"/>
        </w:rPr>
      </w:pPr>
    </w:p>
    <w:p>
      <w:pPr>
        <w:ind w:right="140" w:firstLine="1263"/>
        <w:spacing w:after="0" w:line="289" w:lineRule="auto"/>
        <w:tabs>
          <w:tab w:leader="none" w:pos="1861"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AbbVie Liabilities</w:t>
      </w:r>
      <w:r>
        <w:rPr>
          <w:rFonts w:ascii="Arial" w:cs="Arial" w:eastAsia="Arial" w:hAnsi="Arial"/>
          <w:sz w:val="17"/>
          <w:szCs w:val="17"/>
          <w:color w:val="auto"/>
        </w:rPr>
        <w:t>. Effective as of the Distribution Date, and except as expressly provided in this Agreement, AbbVie hereby assumes</w:t>
      </w:r>
      <w:r>
        <w:rPr>
          <w:rFonts w:ascii="Arial" w:cs="Arial" w:eastAsia="Arial" w:hAnsi="Arial"/>
          <w:sz w:val="17"/>
          <w:szCs w:val="17"/>
          <w:i w:val="1"/>
          <w:iCs w:val="1"/>
          <w:color w:val="auto"/>
        </w:rPr>
        <w:t xml:space="preserve"> </w:t>
      </w:r>
      <w:r>
        <w:rPr>
          <w:rFonts w:ascii="Arial" w:cs="Arial" w:eastAsia="Arial" w:hAnsi="Arial"/>
          <w:sz w:val="17"/>
          <w:szCs w:val="17"/>
          <w:color w:val="auto"/>
        </w:rPr>
        <w:t>(or retains) and agrees to pay, perform, fulfill, and discharge all Liabilities to the extent relating to, arising out of, or resulting from:</w:t>
      </w:r>
    </w:p>
    <w:p>
      <w:pPr>
        <w:spacing w:after="0" w:line="158" w:lineRule="exact"/>
        <w:rPr>
          <w:rFonts w:ascii="Arial" w:cs="Arial" w:eastAsia="Arial" w:hAnsi="Arial"/>
          <w:sz w:val="17"/>
          <w:szCs w:val="17"/>
          <w:color w:val="auto"/>
        </w:rPr>
      </w:pPr>
    </w:p>
    <w:p>
      <w:pPr>
        <w:ind w:left="640" w:right="80" w:firstLine="1253"/>
        <w:spacing w:after="0" w:line="273" w:lineRule="auto"/>
        <w:tabs>
          <w:tab w:leader="none" w:pos="2509"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employment (or termination of employment) of each AbbVie Employee by the Abbott Group up to the applicable Transfer Date and by the AbbVie Group on and after the applicable Transfer Date (including, in each case, all Liabilities relating to, arising out of, or resulting from Employment Taxes, any Abbott Benefit Plan or any AbbVie Benefit Plan);</w:t>
      </w:r>
    </w:p>
    <w:p>
      <w:pPr>
        <w:spacing w:after="0" w:line="171" w:lineRule="exact"/>
        <w:rPr>
          <w:rFonts w:ascii="Arial" w:cs="Arial" w:eastAsia="Arial" w:hAnsi="Arial"/>
          <w:sz w:val="17"/>
          <w:szCs w:val="17"/>
          <w:color w:val="auto"/>
        </w:rPr>
      </w:pPr>
    </w:p>
    <w:p>
      <w:pPr>
        <w:ind w:left="640" w:right="340" w:firstLine="1253"/>
        <w:spacing w:after="0" w:line="289" w:lineRule="auto"/>
        <w:tabs>
          <w:tab w:leader="none" w:pos="2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employment (or termination of employment) of each AbbVie Former Employee (including, in each case, all Liabilities relating to, arising out of, or resulting from Employment Taxes, any Abbott Benefit Plan or any AbbVie Benefit Plan);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obligations, Liabilities, and responsibilities expressly assumed or retained by AbbVie pursuant to this Agreement.</w:t>
      </w:r>
    </w:p>
    <w:p>
      <w:pPr>
        <w:spacing w:after="0" w:line="224" w:lineRule="exact"/>
        <w:rPr>
          <w:rFonts w:ascii="Arial" w:cs="Arial" w:eastAsia="Arial" w:hAnsi="Arial"/>
          <w:sz w:val="17"/>
          <w:szCs w:val="17"/>
          <w:color w:val="auto"/>
        </w:rPr>
      </w:pPr>
    </w:p>
    <w:p>
      <w:pPr>
        <w:ind w:right="100" w:firstLine="1263"/>
        <w:spacing w:after="0" w:line="289" w:lineRule="auto"/>
        <w:tabs>
          <w:tab w:leader="none" w:pos="187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Abbott Liabilities</w:t>
      </w:r>
      <w:r>
        <w:rPr>
          <w:rFonts w:ascii="Arial" w:cs="Arial" w:eastAsia="Arial" w:hAnsi="Arial"/>
          <w:sz w:val="17"/>
          <w:szCs w:val="17"/>
          <w:color w:val="auto"/>
        </w:rPr>
        <w:t>. Effective as of the Distribution Date, and except as expressly provided in this Agreement, Abbott hereby retains (or</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and agrees to pay, perform, fulfill, and discharge all Liabilities to the extent relating to, arising out of, or resulting from:</w:t>
      </w:r>
    </w:p>
    <w:p>
      <w:pPr>
        <w:spacing w:after="0" w:line="158" w:lineRule="exact"/>
        <w:rPr>
          <w:rFonts w:ascii="Arial" w:cs="Arial" w:eastAsia="Arial" w:hAnsi="Arial"/>
          <w:sz w:val="17"/>
          <w:szCs w:val="17"/>
          <w:color w:val="auto"/>
        </w:rPr>
      </w:pPr>
    </w:p>
    <w:p>
      <w:pPr>
        <w:ind w:left="640" w:right="100" w:firstLine="1253"/>
        <w:spacing w:after="0" w:line="322" w:lineRule="auto"/>
        <w:tabs>
          <w:tab w:leader="none" w:pos="250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employment (or termination of employment) of each Abbott Retained Employee by the Abbott Group prior to, on, or after the Distribution Date (including all Liabilities to the extent relating to, arising out of, or resulting from Employment Taxes or any Abbott Benefit Plan);</w:t>
      </w:r>
    </w:p>
    <w:p>
      <w:pPr>
        <w:spacing w:after="0" w:line="135" w:lineRule="exact"/>
        <w:rPr>
          <w:rFonts w:ascii="Arial" w:cs="Arial" w:eastAsia="Arial" w:hAnsi="Arial"/>
          <w:sz w:val="16"/>
          <w:szCs w:val="16"/>
          <w:color w:val="auto"/>
        </w:rPr>
      </w:pPr>
    </w:p>
    <w:p>
      <w:pPr>
        <w:ind w:left="640" w:right="460" w:firstLine="1253"/>
        <w:spacing w:after="0" w:line="289" w:lineRule="auto"/>
        <w:tabs>
          <w:tab w:leader="none" w:pos="2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employment (or termination of employment) of each Abbott Former Employee (including all Liabilities to the extent relating to, arising out of, or resulting from Employment Taxes or any Abbott Benefit Plan);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obligations, Liabilities, and responsibilities expressly retained or assumed by Abbott pursuant to this Agreement.</w:t>
      </w:r>
    </w:p>
    <w:p>
      <w:pPr>
        <w:spacing w:after="0" w:line="224" w:lineRule="exact"/>
        <w:rPr>
          <w:rFonts w:ascii="Arial" w:cs="Arial" w:eastAsia="Arial" w:hAnsi="Arial"/>
          <w:sz w:val="17"/>
          <w:szCs w:val="17"/>
          <w:color w:val="auto"/>
        </w:rPr>
      </w:pPr>
    </w:p>
    <w:p>
      <w:pPr>
        <w:ind w:firstLine="1263"/>
        <w:spacing w:after="0" w:line="298" w:lineRule="auto"/>
        <w:tabs>
          <w:tab w:leader="none" w:pos="1861"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Other Liabilities</w:t>
      </w:r>
      <w:r>
        <w:rPr>
          <w:rFonts w:ascii="Arial" w:cs="Arial" w:eastAsia="Arial" w:hAnsi="Arial"/>
          <w:sz w:val="16"/>
          <w:szCs w:val="16"/>
          <w:color w:val="auto"/>
        </w:rPr>
        <w:t>. To the extent that this Agreement does not cover particular obligations, Liabilities or responsibilities that relate to,</w:t>
      </w:r>
      <w:r>
        <w:rPr>
          <w:rFonts w:ascii="Arial" w:cs="Arial" w:eastAsia="Arial" w:hAnsi="Arial"/>
          <w:sz w:val="16"/>
          <w:szCs w:val="16"/>
          <w:i w:val="1"/>
          <w:iCs w:val="1"/>
          <w:color w:val="auto"/>
        </w:rPr>
        <w:t xml:space="preserve"> </w:t>
      </w:r>
      <w:r>
        <w:rPr>
          <w:rFonts w:ascii="Arial" w:cs="Arial" w:eastAsia="Arial" w:hAnsi="Arial"/>
          <w:sz w:val="16"/>
          <w:szCs w:val="16"/>
          <w:color w:val="auto"/>
        </w:rPr>
        <w:t>arise out of, or result from employment (or termination of employment), Employment Taxes or any Benefit Plan and the Parties later determine that they should be allocated in connection with the Separation, such obligations, Liabilities or responsibilities shall be handled in a manner similar to the manner in</w:t>
      </w:r>
    </w:p>
    <w:p>
      <w:pPr>
        <w:sectPr>
          <w:pgSz w:w="11900" w:h="16838" w:orient="portrait"/>
          <w:cols w:equalWidth="0" w:num="1">
            <w:col w:w="11400"/>
          </w:cols>
          <w:pgMar w:left="240" w:top="127" w:right="25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7" w:right="259" w:bottom="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which this Agreement handles comparable obligations, Liabilities or responsibilities, subject to the mutual agreement of the Parties.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Employment with AbbVie</w:t>
      </w:r>
      <w:r>
        <w:rPr>
          <w:rFonts w:ascii="Arial" w:cs="Arial" w:eastAsia="Arial" w:hAnsi="Arial"/>
          <w:sz w:val="17"/>
          <w:szCs w:val="17"/>
          <w:color w:val="auto"/>
        </w:rPr>
        <w:t>.</w:t>
      </w:r>
    </w:p>
    <w:p>
      <w:pPr>
        <w:spacing w:after="0" w:line="224" w:lineRule="exact"/>
        <w:rPr>
          <w:sz w:val="20"/>
          <w:szCs w:val="20"/>
          <w:color w:val="auto"/>
        </w:rPr>
      </w:pPr>
    </w:p>
    <w:p>
      <w:pPr>
        <w:ind w:right="260" w:firstLine="1263"/>
        <w:spacing w:after="0" w:line="289" w:lineRule="auto"/>
        <w:tabs>
          <w:tab w:leader="none" w:pos="1861" w:val="left"/>
        </w:tabs>
        <w:numPr>
          <w:ilvl w:val="1"/>
          <w:numId w:val="112"/>
        </w:numPr>
        <w:rPr>
          <w:rFonts w:ascii="Arial" w:cs="Arial" w:eastAsia="Arial" w:hAnsi="Arial"/>
          <w:sz w:val="17"/>
          <w:szCs w:val="17"/>
          <w:color w:val="auto"/>
        </w:rPr>
      </w:pPr>
      <w:r>
        <w:rPr>
          <w:rFonts w:ascii="Arial" w:cs="Arial" w:eastAsia="Arial" w:hAnsi="Arial"/>
          <w:sz w:val="17"/>
          <w:szCs w:val="17"/>
          <w:i w:val="1"/>
          <w:iCs w:val="1"/>
          <w:color w:val="auto"/>
        </w:rPr>
        <w:t>Employment Transfers</w:t>
      </w:r>
      <w:r>
        <w:rPr>
          <w:rFonts w:ascii="Arial" w:cs="Arial" w:eastAsia="Arial" w:hAnsi="Arial"/>
          <w:sz w:val="17"/>
          <w:szCs w:val="17"/>
          <w:color w:val="auto"/>
        </w:rPr>
        <w:t>. The Parties intend for AbbVie Employees to transfer to the AbbVie Group and shall use their respective best</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and cooperate with each other to effectuate this intent.</w:t>
      </w:r>
    </w:p>
    <w:p>
      <w:pPr>
        <w:spacing w:after="0" w:line="158" w:lineRule="exact"/>
        <w:rPr>
          <w:rFonts w:ascii="Arial" w:cs="Arial" w:eastAsia="Arial" w:hAnsi="Arial"/>
          <w:sz w:val="17"/>
          <w:szCs w:val="17"/>
          <w:color w:val="auto"/>
        </w:rPr>
      </w:pPr>
    </w:p>
    <w:p>
      <w:pPr>
        <w:ind w:left="640" w:right="20" w:firstLine="1253"/>
        <w:spacing w:after="0" w:line="262" w:lineRule="auto"/>
        <w:tabs>
          <w:tab w:leader="none" w:pos="2509" w:val="left"/>
        </w:tabs>
        <w:numPr>
          <w:ilvl w:val="3"/>
          <w:numId w:val="112"/>
        </w:numPr>
        <w:rPr>
          <w:rFonts w:ascii="Arial" w:cs="Arial" w:eastAsia="Arial" w:hAnsi="Arial"/>
          <w:sz w:val="17"/>
          <w:szCs w:val="17"/>
          <w:color w:val="auto"/>
        </w:rPr>
      </w:pPr>
      <w:r>
        <w:rPr>
          <w:rFonts w:ascii="Arial" w:cs="Arial" w:eastAsia="Arial" w:hAnsi="Arial"/>
          <w:sz w:val="17"/>
          <w:szCs w:val="17"/>
          <w:color w:val="auto"/>
        </w:rPr>
        <w:t xml:space="preserve">Except as otherwise mutually agreed upon by the Parties, as of each AbbVie Employee’s Transfer Date, the AbbVie Group shall: (A) continue to employ (on a basis consistent with </w:t>
      </w:r>
      <w:r>
        <w:rPr>
          <w:rFonts w:ascii="Arial" w:cs="Arial" w:eastAsia="Arial" w:hAnsi="Arial"/>
          <w:sz w:val="17"/>
          <w:szCs w:val="17"/>
          <w:u w:val="single" w:color="auto"/>
          <w:color w:val="auto"/>
        </w:rPr>
        <w:t>Section 2.02(b)</w:t>
      </w:r>
      <w:r>
        <w:rPr>
          <w:rFonts w:ascii="Arial" w:cs="Arial" w:eastAsia="Arial" w:hAnsi="Arial"/>
          <w:sz w:val="17"/>
          <w:szCs w:val="17"/>
          <w:color w:val="auto"/>
        </w:rPr>
        <w:t xml:space="preserve">) each AbbVie Employee employed in a jurisdiction where employment continues automatically by operation of Law (and such individual does not object, where such right exists under applicable Law); and (B) offer to employ (on a basis consistent with </w:t>
      </w:r>
      <w:r>
        <w:rPr>
          <w:rFonts w:ascii="Arial" w:cs="Arial" w:eastAsia="Arial" w:hAnsi="Arial"/>
          <w:sz w:val="17"/>
          <w:szCs w:val="17"/>
          <w:u w:val="single" w:color="auto"/>
          <w:color w:val="auto"/>
        </w:rPr>
        <w:t>Section 2.02(b)</w:t>
      </w:r>
      <w:r>
        <w:rPr>
          <w:rFonts w:ascii="Arial" w:cs="Arial" w:eastAsia="Arial" w:hAnsi="Arial"/>
          <w:sz w:val="17"/>
          <w:szCs w:val="17"/>
          <w:color w:val="auto"/>
        </w:rPr>
        <w:t>) each AbbVie Employee employed in a jurisdiction where employment does not continue automatically by operation of Law. Each AbbVie Employee who accepts an offer of employment with the AbbVie Group, or who continues employment with the AbbVie Group following his or her Transfer Date automatically by operation of Law (and does not object where such right exists under applicable Law), as the case may be, including each Post-Distribution AbbVie Employee who so accepts an offer or so continues employment, will be referred to in this Agreement as a “</w:t>
      </w:r>
      <w:r>
        <w:rPr>
          <w:rFonts w:ascii="Arial" w:cs="Arial" w:eastAsia="Arial" w:hAnsi="Arial"/>
          <w:sz w:val="17"/>
          <w:szCs w:val="17"/>
          <w:u w:val="single" w:color="auto"/>
          <w:color w:val="auto"/>
        </w:rPr>
        <w:t>Transferred Employee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640" w:right="100" w:firstLine="1253"/>
        <w:spacing w:after="0" w:line="278" w:lineRule="auto"/>
        <w:tabs>
          <w:tab w:leader="none" w:pos="2520" w:val="left"/>
        </w:tabs>
        <w:numPr>
          <w:ilvl w:val="3"/>
          <w:numId w:val="112"/>
        </w:numPr>
        <w:rPr>
          <w:rFonts w:ascii="Arial" w:cs="Arial" w:eastAsia="Arial" w:hAnsi="Arial"/>
          <w:sz w:val="16"/>
          <w:szCs w:val="16"/>
          <w:color w:val="auto"/>
        </w:rPr>
      </w:pPr>
      <w:r>
        <w:rPr>
          <w:rFonts w:ascii="Arial" w:cs="Arial" w:eastAsia="Arial" w:hAnsi="Arial"/>
          <w:sz w:val="16"/>
          <w:szCs w:val="16"/>
          <w:color w:val="auto"/>
        </w:rPr>
        <w:t xml:space="preserve">The Abbott Group may terminate the employment of any AbbVie Employee who does not become a Transferred Employee as of his or her intended Transfer Date. AbbVie will be responsible for, and will indemnify the Abbott Group from and against, any Liabilities incurred (including any severance payments made): (A) in connection with the termination of an AbbVie Employee pursuant to this </w:t>
      </w:r>
      <w:r>
        <w:rPr>
          <w:rFonts w:ascii="Arial" w:cs="Arial" w:eastAsia="Arial" w:hAnsi="Arial"/>
          <w:sz w:val="16"/>
          <w:szCs w:val="16"/>
          <w:u w:val="single" w:color="auto"/>
          <w:color w:val="auto"/>
        </w:rPr>
        <w:t>Section 2.02(a)(ii)</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920" w:hanging="286"/>
        <w:spacing w:after="0"/>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arising from or in connection with a refusal by any AbbVie Employee to become a Transferred Employee.</w:t>
      </w:r>
    </w:p>
    <w:p>
      <w:pPr>
        <w:spacing w:after="0" w:line="212" w:lineRule="exact"/>
        <w:rPr>
          <w:rFonts w:ascii="Arial" w:cs="Arial" w:eastAsia="Arial" w:hAnsi="Arial"/>
          <w:sz w:val="17"/>
          <w:szCs w:val="17"/>
          <w:color w:val="auto"/>
        </w:rPr>
      </w:pPr>
    </w:p>
    <w:p>
      <w:pPr>
        <w:ind w:left="1880" w:hanging="617"/>
        <w:spacing w:after="0"/>
        <w:tabs>
          <w:tab w:leader="none" w:pos="1880"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Compensation and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520" w:right="260" w:firstLine="1268"/>
        <w:spacing w:after="0" w:line="290" w:lineRule="auto"/>
        <w:tabs>
          <w:tab w:leader="none" w:pos="2389" w:val="left"/>
        </w:tabs>
        <w:numPr>
          <w:ilvl w:val="2"/>
          <w:numId w:val="113"/>
        </w:numPr>
        <w:rPr>
          <w:rFonts w:ascii="Arial" w:cs="Arial" w:eastAsia="Arial" w:hAnsi="Arial"/>
          <w:sz w:val="16"/>
          <w:szCs w:val="16"/>
          <w:color w:val="auto"/>
        </w:rPr>
      </w:pPr>
      <w:r>
        <w:rPr>
          <w:rFonts w:ascii="Arial" w:cs="Arial" w:eastAsia="Arial" w:hAnsi="Arial"/>
          <w:sz w:val="16"/>
          <w:szCs w:val="16"/>
          <w:color w:val="auto"/>
        </w:rPr>
        <w:t>Abbott shall use commercially reasonable efforts to provide that, except as otherwise mutually agreed upon by the Parties, no transfer of employment of an AbbVie Employee to the AbbVie Group prior to the Distribution Date will cause such AbbVie Employee to lose coverage under any Abbott Benefit Plan prior to the Distribution Date. Except as expressly provided in this Agreement or in local Conveyance and Assumption Instruments, no Transferred Employee shall participate in any Abbott Benefit Plan following his or her Transfer Date.</w:t>
      </w:r>
    </w:p>
    <w:p>
      <w:pPr>
        <w:spacing w:after="0" w:line="159" w:lineRule="exact"/>
        <w:rPr>
          <w:rFonts w:ascii="Arial" w:cs="Arial" w:eastAsia="Arial" w:hAnsi="Arial"/>
          <w:sz w:val="16"/>
          <w:szCs w:val="16"/>
          <w:color w:val="auto"/>
        </w:rPr>
      </w:pPr>
    </w:p>
    <w:p>
      <w:pPr>
        <w:ind w:left="520" w:right="60" w:firstLine="1268"/>
        <w:spacing w:after="0" w:line="265" w:lineRule="auto"/>
        <w:tabs>
          <w:tab w:leader="none" w:pos="2400" w:val="left"/>
        </w:tabs>
        <w:numPr>
          <w:ilvl w:val="2"/>
          <w:numId w:val="113"/>
        </w:numPr>
        <w:rPr>
          <w:rFonts w:ascii="Arial" w:cs="Arial" w:eastAsia="Arial" w:hAnsi="Arial"/>
          <w:sz w:val="17"/>
          <w:szCs w:val="17"/>
          <w:color w:val="auto"/>
        </w:rPr>
      </w:pPr>
      <w:r>
        <w:rPr>
          <w:rFonts w:ascii="Arial" w:cs="Arial" w:eastAsia="Arial" w:hAnsi="Arial"/>
          <w:sz w:val="17"/>
          <w:szCs w:val="17"/>
          <w:color w:val="auto"/>
        </w:rPr>
        <w:t>Except as expressly provided in this Agreement, the AbbVie Group shall provide to each Transferred Employee as of his or her Transfer Date (A) base salary at the same rate as provided to that Transferred Employee immediately prior to the Transfer Date, (B) cash incentive compensation opportunities that are substantially similar to those offered under the corresponding Abbott Benefit Plan(s) immediately prior to the Transfer Date, and (C) benefits under the other AbbVie Benefit Plans that are substantially similar to benefits provided under the corresponding Abbott Benefit Plans immediately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line="268" w:lineRule="auto"/>
        <w:rPr>
          <w:sz w:val="20"/>
          <w:szCs w:val="20"/>
          <w:color w:val="auto"/>
        </w:rPr>
      </w:pPr>
      <w:r>
        <w:rPr>
          <w:rFonts w:ascii="Arial" w:cs="Arial" w:eastAsia="Arial" w:hAnsi="Arial"/>
          <w:sz w:val="17"/>
          <w:szCs w:val="17"/>
          <w:color w:val="auto"/>
        </w:rPr>
        <w:t>prior to the Transfer Date. Nothing in the preceding sentence shall prevent the AbbVie Group from modifying the compensation and benefits of a Transferred Employee after such Transferred Employee’s Transfer Date. Notwithstanding the preceding sentence, neither Abbott nor AbbVie shall, prior to December 31, 2013, materially modify the benefit programs provided to their respective Employees working primarily in the United States and Puerto Rico except in the ordinary course of business or as required by Law.</w:t>
      </w:r>
    </w:p>
    <w:p>
      <w:pPr>
        <w:spacing w:after="0" w:line="176" w:lineRule="exact"/>
        <w:rPr>
          <w:sz w:val="20"/>
          <w:szCs w:val="20"/>
          <w:color w:val="auto"/>
        </w:rPr>
      </w:pPr>
    </w:p>
    <w:p>
      <w:pPr>
        <w:jc w:val="both"/>
        <w:ind w:right="80" w:firstLine="1263"/>
        <w:spacing w:after="0" w:line="298" w:lineRule="auto"/>
        <w:tabs>
          <w:tab w:leader="none" w:pos="1861"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Service Credit</w:t>
      </w:r>
      <w:r>
        <w:rPr>
          <w:rFonts w:ascii="Arial" w:cs="Arial" w:eastAsia="Arial" w:hAnsi="Arial"/>
          <w:sz w:val="16"/>
          <w:szCs w:val="16"/>
          <w:color w:val="auto"/>
        </w:rPr>
        <w:t>. Except as expressly provided in this Agreement or to the extent it would result in a duplication of benefits, AbbVie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AbbVie Benefit Plan shall give each Transferred Employee and each AbbVie LTD Participant credit for all service with the Abbott Group and shall calculate such service as it would be calculated by Abbott or under the corresponding Abbott Benefit Plan as of the applicable Transfer Date.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Establishment of AbbVie Plans</w:t>
      </w:r>
      <w:r>
        <w:rPr>
          <w:rFonts w:ascii="Arial" w:cs="Arial" w:eastAsia="Arial" w:hAnsi="Arial"/>
          <w:sz w:val="17"/>
          <w:szCs w:val="17"/>
          <w:color w:val="auto"/>
        </w:rPr>
        <w:t>.</w:t>
      </w:r>
    </w:p>
    <w:p>
      <w:pPr>
        <w:spacing w:after="0" w:line="224" w:lineRule="exact"/>
        <w:rPr>
          <w:sz w:val="20"/>
          <w:szCs w:val="20"/>
          <w:color w:val="auto"/>
        </w:rPr>
      </w:pPr>
    </w:p>
    <w:p>
      <w:pPr>
        <w:ind w:left="1860" w:hanging="597"/>
        <w:spacing w:after="0"/>
        <w:tabs>
          <w:tab w:leader="none" w:pos="18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1253"/>
        <w:spacing w:after="0" w:line="314" w:lineRule="auto"/>
        <w:tabs>
          <w:tab w:leader="none" w:pos="2509" w:val="left"/>
        </w:tabs>
        <w:numPr>
          <w:ilvl w:val="1"/>
          <w:numId w:val="115"/>
        </w:numPr>
        <w:rPr>
          <w:rFonts w:ascii="Arial" w:cs="Arial" w:eastAsia="Arial" w:hAnsi="Arial"/>
          <w:sz w:val="15"/>
          <w:szCs w:val="15"/>
          <w:color w:val="auto"/>
        </w:rPr>
      </w:pPr>
      <w:r>
        <w:rPr>
          <w:rFonts w:ascii="Arial" w:cs="Arial" w:eastAsia="Arial" w:hAnsi="Arial"/>
          <w:sz w:val="15"/>
          <w:szCs w:val="15"/>
          <w:i w:val="1"/>
          <w:iCs w:val="1"/>
          <w:color w:val="auto"/>
        </w:rPr>
        <w:t xml:space="preserve">U.S (Not Including Puerto Rico). </w:t>
      </w:r>
      <w:r>
        <w:rPr>
          <w:rFonts w:ascii="Arial" w:cs="Arial" w:eastAsia="Arial" w:hAnsi="Arial"/>
          <w:sz w:val="15"/>
          <w:szCs w:val="15"/>
          <w:color w:val="auto"/>
        </w:rPr>
        <w:t>Prior to the Distribution Date, AbbVie shall adopt Benefit Plans (and related trusts, if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applicable, as determined by the Parties) with terms substantially similar to those of the corresponding Abbott Benefit Plans, including in particular those listed in </w:t>
      </w:r>
      <w:r>
        <w:rPr>
          <w:rFonts w:ascii="Arial" w:cs="Arial" w:eastAsia="Arial" w:hAnsi="Arial"/>
          <w:sz w:val="15"/>
          <w:szCs w:val="15"/>
          <w:u w:val="single" w:color="auto"/>
          <w:color w:val="auto"/>
        </w:rPr>
        <w:t>Schedule 2.03(a)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AbbVie may limit participation in any AbbVie Benefit Plan to Transferred Employees and, to the extent applicable, AbbVie LTD Participants who participated in the corresponding Abbott Benefit Plan immediately prior to the applicable Transfer Date.</w:t>
      </w:r>
    </w:p>
    <w:p>
      <w:pPr>
        <w:spacing w:after="0" w:line="146" w:lineRule="exact"/>
        <w:rPr>
          <w:rFonts w:ascii="Arial" w:cs="Arial" w:eastAsia="Arial" w:hAnsi="Arial"/>
          <w:sz w:val="15"/>
          <w:szCs w:val="15"/>
          <w:color w:val="auto"/>
        </w:rPr>
      </w:pPr>
    </w:p>
    <w:p>
      <w:pPr>
        <w:ind w:left="640" w:firstLine="1253"/>
        <w:spacing w:after="0" w:line="278" w:lineRule="auto"/>
        <w:tabs>
          <w:tab w:leader="none" w:pos="2520"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Non-U.S (Not Including Puerto Rico). </w:t>
      </w:r>
      <w:r>
        <w:rPr>
          <w:rFonts w:ascii="Arial" w:cs="Arial" w:eastAsia="Arial" w:hAnsi="Arial"/>
          <w:sz w:val="16"/>
          <w:szCs w:val="16"/>
          <w:color w:val="auto"/>
        </w:rPr>
        <w:t>Prior to the Distribution Date, the AbbVie Group shall, except as otherwise mutually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agreed upon by the Parties, adopt Non-U.S. AbbVie Benefit Plans, with terms substantially similar to those of the corresponding Non-U.S. Abbott Benefit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AbbVie may limit participation in any Non-U.S. AbbVie Benefit Plan to Transferred Non-U.S. Employees and, to the extent applicable, AbbVie LTD Participants who participated in the corresponding Non-U.S. Abbott Benefit Plan immediately prior to the applicable Transfer Date. As described in Article IV, or as otherwise mutually agreed upon by the Parties from time to time, the Abbott Group shall, or shall cause the applicable Non-U.S. Abbott Benefit Plan’s related trust to, transfer to the AbbVie Group or the relevant Non-U.S. AbbVie Benefit Plan’s related trust, an amount equal to the trust Assets, insurance reserves, and other Assets of each Non-U.S. Abbott Benefit Plan relating to the Liabilities of such Non-U.S. Abbott Benefit Plan assumed by AbbVie or such Non-U.S. AbbVie Benefit Plan. As described in Article IV, or as otherwise mutually agreed upon by the Parties from time to time, the AbbVie Group shall, or shall cause the relevant Non-U.S. AbbVie Benefit Plan to, assume the Liabilities of the corresponding Non-U.S. Abbott Benefit Plan with respect to all benefits accrued under that Non-U.S. Abbott Benefit Plan by Transferred Non-U.S. Employees and, to the extent applicable, AbbVie LTD Participants.</w:t>
      </w:r>
    </w:p>
    <w:p>
      <w:pPr>
        <w:spacing w:after="0" w:line="172" w:lineRule="exact"/>
        <w:rPr>
          <w:rFonts w:ascii="Arial" w:cs="Arial" w:eastAsia="Arial" w:hAnsi="Arial"/>
          <w:sz w:val="16"/>
          <w:szCs w:val="16"/>
          <w:color w:val="auto"/>
        </w:rPr>
      </w:pPr>
    </w:p>
    <w:p>
      <w:pPr>
        <w:ind w:left="640" w:right="60" w:firstLine="1253"/>
        <w:spacing w:after="0" w:line="289" w:lineRule="auto"/>
        <w:tabs>
          <w:tab w:leader="none" w:pos="2532"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Puerto Rico. </w:t>
      </w:r>
      <w:r>
        <w:rPr>
          <w:rFonts w:ascii="Arial" w:cs="Arial" w:eastAsia="Arial" w:hAnsi="Arial"/>
          <w:sz w:val="17"/>
          <w:szCs w:val="17"/>
          <w:color w:val="auto"/>
        </w:rPr>
        <w:t>The establishment of Benefit Plans and the allocation of Assets and Liabilities relating to Employees and Former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in Puerto Rico are set forth in Article VII.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403" w:gutter="0" w:footer="0" w:header="0"/>
        </w:sectPr>
      </w:pPr>
    </w:p>
    <w:bookmarkStart w:id="50" w:name="page51"/>
    <w:bookmarkEnd w:id="50"/>
    <w:p>
      <w:pPr>
        <w:spacing w:after="0" w:line="79" w:lineRule="exact"/>
        <w:rPr>
          <w:sz w:val="20"/>
          <w:szCs w:val="20"/>
          <w:color w:val="auto"/>
        </w:rPr>
      </w:pPr>
    </w:p>
    <w:p>
      <w:pPr>
        <w:ind w:right="60" w:firstLine="1263"/>
        <w:spacing w:after="0" w:line="262" w:lineRule="auto"/>
        <w:tabs>
          <w:tab w:leader="none" w:pos="1895"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Plan Information and Operation</w:t>
      </w:r>
      <w:r>
        <w:rPr>
          <w:rFonts w:ascii="Arial" w:cs="Arial" w:eastAsia="Arial" w:hAnsi="Arial"/>
          <w:sz w:val="17"/>
          <w:szCs w:val="17"/>
          <w:color w:val="auto"/>
        </w:rPr>
        <w:t>. Abbott shall provide AbbVie with information describing each Abbott Benefit Plan election made by</w:t>
      </w:r>
      <w:r>
        <w:rPr>
          <w:rFonts w:ascii="Arial" w:cs="Arial" w:eastAsia="Arial" w:hAnsi="Arial"/>
          <w:sz w:val="17"/>
          <w:szCs w:val="17"/>
          <w:i w:val="1"/>
          <w:iCs w:val="1"/>
          <w:color w:val="auto"/>
        </w:rPr>
        <w:t xml:space="preserve"> </w:t>
      </w:r>
      <w:r>
        <w:rPr>
          <w:rFonts w:ascii="Arial" w:cs="Arial" w:eastAsia="Arial" w:hAnsi="Arial"/>
          <w:sz w:val="17"/>
          <w:szCs w:val="17"/>
          <w:color w:val="auto"/>
        </w:rPr>
        <w:t>a Transferred Employee or by an AbbVie LTD Participant that may have application following the applicable Transfer Date. AbbVie shall determine, in its sole discretion, whether to administer the AbbVie Benefit Plans using those elections or to require Transferred Employees or AbbVie LTD Participants to submit new elections with respect to the AbbVie Benefit Plans. Except as provided in this Agreement, the Distribution and the transfer of any Employee’s employment to the AbbVie Group shall not cause a distribution from or payment of benefits under any Abbott Benefit Plan. Each Party shall, upon reasonable request, provide the other Party and the other Party’s respective Affiliates, agents, and vendors all information reasonably necessary to the other Party’s operation or administration of its Benefit Plans.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Post-Distribution Employment Transfers</w:t>
      </w:r>
      <w:r>
        <w:rPr>
          <w:rFonts w:ascii="Arial" w:cs="Arial" w:eastAsia="Arial" w:hAnsi="Arial"/>
          <w:sz w:val="17"/>
          <w:szCs w:val="17"/>
          <w:color w:val="auto"/>
        </w:rPr>
        <w:t>.</w:t>
      </w:r>
    </w:p>
    <w:p>
      <w:pPr>
        <w:spacing w:after="0" w:line="224" w:lineRule="exact"/>
        <w:rPr>
          <w:sz w:val="20"/>
          <w:szCs w:val="20"/>
          <w:color w:val="auto"/>
        </w:rPr>
      </w:pPr>
    </w:p>
    <w:p>
      <w:pPr>
        <w:ind w:right="60" w:firstLine="1263"/>
        <w:spacing w:after="0" w:line="281" w:lineRule="auto"/>
        <w:tabs>
          <w:tab w:leader="none" w:pos="1898"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No-Hire. </w:t>
      </w:r>
      <w:r>
        <w:rPr>
          <w:rFonts w:ascii="Arial" w:cs="Arial" w:eastAsia="Arial" w:hAnsi="Arial"/>
          <w:sz w:val="16"/>
          <w:szCs w:val="16"/>
          <w:color w:val="auto"/>
        </w:rPr>
        <w:t>The Parties agree that, during the Transition Period, neither Party nor any of such Party’s Affiliates shall hire an Employee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other Party and its Affiliates without the express written consent of each Party’s head of human resources (or such individual’s delegate). This</w:t>
      </w:r>
    </w:p>
    <w:p>
      <w:pPr>
        <w:ind w:right="180"/>
        <w:spacing w:after="0" w:line="275" w:lineRule="auto"/>
        <w:rPr>
          <w:rFonts w:ascii="Arial" w:cs="Arial" w:eastAsia="Arial" w:hAnsi="Arial"/>
          <w:sz w:val="16"/>
          <w:szCs w:val="16"/>
          <w:color w:val="auto"/>
        </w:rPr>
      </w:pP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shall not be construed as a limitation on the transfer to the AbbVie Group of any Post-Distribution AbbVie Employee, on transfers in accordance with </w:t>
      </w:r>
      <w:r>
        <w:rPr>
          <w:rFonts w:ascii="Arial" w:cs="Arial" w:eastAsia="Arial" w:hAnsi="Arial"/>
          <w:sz w:val="17"/>
          <w:szCs w:val="17"/>
          <w:u w:val="single" w:color="auto"/>
          <w:color w:val="auto"/>
        </w:rPr>
        <w:t>Section 2.04(b)</w:t>
      </w:r>
      <w:r>
        <w:rPr>
          <w:rFonts w:ascii="Arial" w:cs="Arial" w:eastAsia="Arial" w:hAnsi="Arial"/>
          <w:sz w:val="17"/>
          <w:szCs w:val="17"/>
          <w:color w:val="auto"/>
        </w:rPr>
        <w:t>, or on the ability of a Party to hire an individual who is no longer employed by the other Party.</w:t>
      </w:r>
    </w:p>
    <w:p>
      <w:pPr>
        <w:spacing w:after="0" w:line="169" w:lineRule="exact"/>
        <w:rPr>
          <w:rFonts w:ascii="Arial" w:cs="Arial" w:eastAsia="Arial" w:hAnsi="Arial"/>
          <w:sz w:val="16"/>
          <w:szCs w:val="16"/>
          <w:color w:val="auto"/>
        </w:rPr>
      </w:pPr>
    </w:p>
    <w:p>
      <w:pPr>
        <w:ind w:right="20" w:firstLine="1263"/>
        <w:spacing w:after="0" w:line="277" w:lineRule="auto"/>
        <w:tabs>
          <w:tab w:leader="none" w:pos="1895"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Transition Period Transfers by Mutual Agreement</w:t>
      </w:r>
      <w:r>
        <w:rPr>
          <w:rFonts w:ascii="Arial" w:cs="Arial" w:eastAsia="Arial" w:hAnsi="Arial"/>
          <w:sz w:val="16"/>
          <w:szCs w:val="16"/>
          <w:color w:val="auto"/>
        </w:rPr>
        <w:t>. The Parties recognize that, during the Transition Period, they may determine it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their mutual best interests to transfer an individual classified as an Abbott Retained Employee to the AbbVie Group or to transfer an individual classified as a Transferred Employee to the Abbott Group. With the express written consent of each Party’s head of human resources (or such individual’s delegate), such Abbott Retained Employee’s or Transferred Employee’s, as applicable, employment will be terminated by the Abbott Group or the AbbVie Group, as applicable, and such Employee will be immediately hired by the other Party (such terminations and hires are referred to in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as “transfers”). Abbott Retained Employees (with such status being determined as of immediately following the Distribution Date) who are subsequently transferred to the AbbVie Group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be treated as Abbott Retained Employees for all purposes hereof during their time as Employees of the Abbott Group until their actual transfer to the AbbVie Group, upon and following which the Parties shall make commercially reasonable efforts to provide that they are treated as Transferred Employees for all purposes hereof. Transferred Employees (with such status being determined as of immediately following the applicable Transfer Date) who are subsequently transferred to the Abbott Group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be treated as Transferred Employees for all purposes hereof during their time as Employees of the AbbVie Group until their actual transfer to the Abbott Group, upon and following which the Parties shall make commercially reasonable efforts to provide that they are treated as Abbott Retained Employees for all purposes hereof. Without limiting the generality of the foregoing, except as provided in Section 2.02(c), each Rehired Employee whose employment is transferred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be deemed for all purposes to have been continuously employed by the applicable entity hiring such Employee for all prior periods of time that such Employee was employed by either the Abbott Group or the AbbVie Group. Nothing in this paragraph requires (i) the hiring Party to make whole any Rehired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Employee if such Employee leaves behind unvested equity awards that were granted after the Distribution Date, or (ii) the former employer to waive vesting requirements with respect to any unvested equity awards held by any Rehired Employee that were granted after the Distribution Date.</w:t>
      </w:r>
    </w:p>
    <w:p>
      <w:pPr>
        <w:spacing w:after="0" w:line="136" w:lineRule="exact"/>
        <w:rPr>
          <w:sz w:val="20"/>
          <w:szCs w:val="20"/>
          <w:color w:val="auto"/>
        </w:rPr>
      </w:pPr>
    </w:p>
    <w:p>
      <w:pPr>
        <w:ind w:right="20" w:firstLine="1263"/>
        <w:spacing w:after="0" w:line="290" w:lineRule="auto"/>
        <w:tabs>
          <w:tab w:leader="none" w:pos="1898"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Rehired Employees</w:t>
      </w:r>
      <w:r>
        <w:rPr>
          <w:rFonts w:ascii="Arial" w:cs="Arial" w:eastAsia="Arial" w:hAnsi="Arial"/>
          <w:sz w:val="16"/>
          <w:szCs w:val="16"/>
          <w:color w:val="auto"/>
        </w:rPr>
        <w:t>. 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3.01(b)(ii)</w:t>
      </w:r>
      <w:r>
        <w:rPr>
          <w:rFonts w:ascii="Arial" w:cs="Arial" w:eastAsia="Arial" w:hAnsi="Arial"/>
          <w:sz w:val="16"/>
          <w:szCs w:val="16"/>
          <w:color w:val="auto"/>
        </w:rPr>
        <w:t>, each Rehired Employee whose rehire does not occur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transfer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be subject to the hiring Party’s general rules and Benefit Plan terms applicable to rehires. Such Rehired Employee shall be deemed, for purposes of applying such rules, including break-in-service and service crediting rules, except as provided in </w:t>
      </w:r>
      <w:r>
        <w:rPr>
          <w:rFonts w:ascii="Arial" w:cs="Arial" w:eastAsia="Arial" w:hAnsi="Arial"/>
          <w:sz w:val="16"/>
          <w:szCs w:val="16"/>
          <w:u w:val="single" w:color="auto"/>
          <w:color w:val="auto"/>
        </w:rPr>
        <w:t>Section 2.02(c)</w:t>
      </w:r>
      <w:r>
        <w:rPr>
          <w:rFonts w:ascii="Arial" w:cs="Arial" w:eastAsia="Arial" w:hAnsi="Arial"/>
          <w:sz w:val="16"/>
          <w:szCs w:val="16"/>
          <w:color w:val="auto"/>
        </w:rPr>
        <w:t>, to have been employed by the applicable entity hiring him or her for all prior periods of time that he or she was employed by either the Abbott Group or the AbbVie Group.</w:t>
      </w:r>
    </w:p>
    <w:p>
      <w:pPr>
        <w:spacing w:after="0" w:line="159" w:lineRule="exact"/>
        <w:rPr>
          <w:rFonts w:ascii="Arial" w:cs="Arial" w:eastAsia="Arial" w:hAnsi="Arial"/>
          <w:sz w:val="16"/>
          <w:szCs w:val="16"/>
          <w:color w:val="auto"/>
        </w:rPr>
      </w:pPr>
    </w:p>
    <w:p>
      <w:pPr>
        <w:ind w:right="40" w:firstLine="1263"/>
        <w:spacing w:after="0" w:line="268" w:lineRule="auto"/>
        <w:tabs>
          <w:tab w:leader="none" w:pos="1895"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Certain Pension Liabilities Associated With Rehired Employees</w:t>
      </w:r>
      <w:r>
        <w:rPr>
          <w:rFonts w:ascii="Arial" w:cs="Arial" w:eastAsia="Arial" w:hAnsi="Arial"/>
          <w:sz w:val="17"/>
          <w:szCs w:val="17"/>
          <w:color w:val="auto"/>
        </w:rPr>
        <w:t>. The Parties shall make commercially reasonable efforts to provide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Assets and Liabilities associated with the participation of any Rehired Employee (whether or not transferred in accordance with </w:t>
      </w:r>
      <w:r>
        <w:rPr>
          <w:rFonts w:ascii="Arial" w:cs="Arial" w:eastAsia="Arial" w:hAnsi="Arial"/>
          <w:sz w:val="17"/>
          <w:szCs w:val="17"/>
          <w:u w:val="single" w:color="auto"/>
          <w:color w:val="auto"/>
        </w:rPr>
        <w:t>Section 2.04(b)</w:t>
      </w:r>
      <w:r>
        <w:rPr>
          <w:rFonts w:ascii="Arial" w:cs="Arial" w:eastAsia="Arial" w:hAnsi="Arial"/>
          <w:sz w:val="17"/>
          <w:szCs w:val="17"/>
          <w:color w:val="auto"/>
        </w:rPr>
        <w:t>) in the qualified defined benefit pension plans of the AbbVie Group and the Abbott Group shall be transferred to the qualified defined benefit pension plan sponsored by the entity (or by its applicable Affiliate) that rehires such Employee during the Transition Period.</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Post-Distribution Employment in Deferred AbbVie Local Businesses</w:t>
      </w:r>
      <w:r>
        <w:rPr>
          <w:rFonts w:ascii="Arial" w:cs="Arial" w:eastAsia="Arial" w:hAnsi="Arial"/>
          <w:sz w:val="16"/>
          <w:szCs w:val="16"/>
          <w:color w:val="auto"/>
        </w:rPr>
        <w:t>. The following provisions shall apply to the Deferred AbbVie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Local Businesses:</w:t>
      </w:r>
    </w:p>
    <w:p>
      <w:pPr>
        <w:spacing w:after="0" w:line="212" w:lineRule="exact"/>
        <w:rPr>
          <w:rFonts w:ascii="Arial" w:cs="Arial" w:eastAsia="Arial" w:hAnsi="Arial"/>
          <w:sz w:val="16"/>
          <w:szCs w:val="16"/>
          <w:color w:val="auto"/>
        </w:rPr>
      </w:pPr>
    </w:p>
    <w:p>
      <w:pPr>
        <w:ind w:left="640" w:right="360" w:firstLine="1253"/>
        <w:spacing w:after="0" w:line="289" w:lineRule="auto"/>
        <w:tabs>
          <w:tab w:leader="none" w:pos="254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During the period commencing on the Distribution Date and ending on the consummation of the applicable Local Closing Transaction, Abbott or its appropriate Affiliate shall:</w:t>
      </w:r>
    </w:p>
    <w:p>
      <w:pPr>
        <w:spacing w:after="0" w:line="158" w:lineRule="exact"/>
        <w:rPr>
          <w:rFonts w:ascii="Arial" w:cs="Arial" w:eastAsia="Arial" w:hAnsi="Arial"/>
          <w:sz w:val="17"/>
          <w:szCs w:val="17"/>
          <w:color w:val="auto"/>
        </w:rPr>
      </w:pPr>
    </w:p>
    <w:p>
      <w:pPr>
        <w:ind w:left="1260" w:firstLine="1262"/>
        <w:spacing w:after="0" w:line="261" w:lineRule="auto"/>
        <w:tabs>
          <w:tab w:leader="none" w:pos="3154" w:val="left"/>
        </w:tabs>
        <w:numPr>
          <w:ilvl w:val="2"/>
          <w:numId w:val="118"/>
        </w:numPr>
        <w:rPr>
          <w:rFonts w:ascii="Arial" w:cs="Arial" w:eastAsia="Arial" w:hAnsi="Arial"/>
          <w:sz w:val="17"/>
          <w:szCs w:val="17"/>
          <w:color w:val="auto"/>
        </w:rPr>
      </w:pPr>
      <w:r>
        <w:rPr>
          <w:rFonts w:ascii="Arial" w:cs="Arial" w:eastAsia="Arial" w:hAnsi="Arial"/>
          <w:sz w:val="17"/>
          <w:szCs w:val="17"/>
          <w:color w:val="auto"/>
        </w:rPr>
        <w:t xml:space="preserve">provide AbbVie or its appropriate Affiliate with at least 30 days’ advance written notice prior to (1) terminating the employment of an AbbVie Employee, unless such termination of employment is the result of a violation of the Abbott Code of Business Conduct or other misconduct or is pursuant to </w:t>
      </w:r>
      <w:r>
        <w:rPr>
          <w:rFonts w:ascii="Arial" w:cs="Arial" w:eastAsia="Arial" w:hAnsi="Arial"/>
          <w:sz w:val="17"/>
          <w:szCs w:val="17"/>
          <w:u w:val="single" w:color="auto"/>
          <w:color w:val="auto"/>
        </w:rPr>
        <w:t>Section 2.02(a)(ii)</w:t>
      </w:r>
      <w:r>
        <w:rPr>
          <w:rFonts w:ascii="Arial" w:cs="Arial" w:eastAsia="Arial" w:hAnsi="Arial"/>
          <w:sz w:val="17"/>
          <w:szCs w:val="17"/>
          <w:color w:val="auto"/>
        </w:rPr>
        <w:t>; (2) making any material amendment to the Abbott Code of Business Conduct or other policies applicable to the employment of an AbbVie Employee; (3) making any substantive change to the employment contract of an AbbVie Employee unless such change is required by applicable Law; (4) making any change to the base salary of an AbbVie Employee, other than an increase within the budget approved by AbbVie based on the Employee’s performance rating; (5) giving a performance rating other than Achieved Expectations (AE) to an AbbVie Employee grade 18 or higher; (6) changing the job grade of an AbbVie Employee; (7) making any substantive change in the plan design of an Abbott Benefit Plan in which an AbbVie Employee participates; or (8) making any other modification to an Abbott Benefit Plan in which an AbbVie Employee participates if such modification would result in a significant change in the cost of such plan to the employer or the participant; and</w:t>
      </w:r>
    </w:p>
    <w:p>
      <w:pPr>
        <w:spacing w:after="0" w:line="181" w:lineRule="exact"/>
        <w:rPr>
          <w:rFonts w:ascii="Arial" w:cs="Arial" w:eastAsia="Arial" w:hAnsi="Arial"/>
          <w:sz w:val="17"/>
          <w:szCs w:val="17"/>
          <w:color w:val="auto"/>
        </w:rPr>
      </w:pPr>
    </w:p>
    <w:p>
      <w:pPr>
        <w:ind w:left="3180" w:hanging="658"/>
        <w:spacing w:after="0"/>
        <w:tabs>
          <w:tab w:leader="none" w:pos="31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obtain the approval of AbbVie or its appropriate Affiliate prior to (1) hiring any individual who will be classified as</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an AbbVie Employee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40"/>
        <w:spacing w:after="0" w:line="273" w:lineRule="auto"/>
        <w:rPr>
          <w:sz w:val="20"/>
          <w:szCs w:val="20"/>
          <w:color w:val="auto"/>
        </w:rPr>
      </w:pPr>
      <w:r>
        <w:rPr>
          <w:rFonts w:ascii="Arial" w:cs="Arial" w:eastAsia="Arial" w:hAnsi="Arial"/>
          <w:sz w:val="17"/>
          <w:szCs w:val="17"/>
          <w:color w:val="auto"/>
        </w:rPr>
        <w:t>unless such headcount was authorized prior to the Distribution Date; (2) promoting any AbbVie Employee to a position in job grade 18 or higher unless such promotion was authorized prior to the Distribution Date; or (3) making any substantive change to annual goals or cash incentive compensation opportunities for an AbbVie Employee.</w:t>
      </w:r>
    </w:p>
    <w:p>
      <w:pPr>
        <w:spacing w:after="0" w:line="172" w:lineRule="exact"/>
        <w:rPr>
          <w:sz w:val="20"/>
          <w:szCs w:val="20"/>
          <w:color w:val="auto"/>
        </w:rPr>
      </w:pPr>
    </w:p>
    <w:p>
      <w:pPr>
        <w:ind w:left="640" w:right="60" w:firstLine="1253"/>
        <w:spacing w:after="0" w:line="360" w:lineRule="auto"/>
        <w:tabs>
          <w:tab w:leader="none" w:pos="255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Except as otherwise mutually agreed upon by the Parties (such as in a Conveyance and Assumption Instrument or other agreement), if an AbbVie Employee’s transfer of employment to the AbbVie Group upon the consummation of a Local Closing Transaction causes, at the</w:t>
      </w:r>
    </w:p>
    <w:p>
      <w:pPr>
        <w:sectPr>
          <w:pgSz w:w="11900" w:h="16917" w:orient="portrait"/>
          <w:cols w:equalWidth="0" w:num="1">
            <w:col w:w="11420"/>
          </w:cols>
          <w:pgMar w:left="240" w:top="127" w:right="239" w:bottom="0" w:gutter="0" w:footer="0" w:header="0"/>
        </w:sectPr>
      </w:pPr>
    </w:p>
    <w:bookmarkStart w:id="51" w:name="page52"/>
    <w:bookmarkEnd w:id="51"/>
    <w:p>
      <w:pPr>
        <w:ind w:left="640" w:right="180"/>
        <w:spacing w:after="0" w:line="263" w:lineRule="auto"/>
        <w:rPr>
          <w:sz w:val="20"/>
          <w:szCs w:val="20"/>
          <w:color w:val="auto"/>
        </w:rPr>
      </w:pPr>
      <w:r>
        <w:rPr>
          <w:rFonts w:ascii="Arial" w:cs="Arial" w:eastAsia="Arial" w:hAnsi="Arial"/>
          <w:sz w:val="17"/>
          <w:szCs w:val="17"/>
          <w:color w:val="auto"/>
        </w:rPr>
        <w:t>time of such transfer, a forfeiture of awards granted under an Abbott Stock Program (or successor thereto) after the Distribution Date, Abbott shall not have any obligation, Liability or responsibility to such AbbVie Employee with respect to such forfeited awards, and AbbVie shall equitably compensate the affected AbbVie Employee for such forfeited awards in a manner determined by AbbVie in its sole discretion. The foregoing sentence shall not preclude the Parties from making arrangements, if allowed by the Abbott Stock Program (or successor thereto) and applicable Law, to permit affected AbbVie Employees to continue to hold, after the Local Closing Transaction, awards granted under an Abbott Stock Program (or successor thereto) after the Distribution Date.</w:t>
      </w:r>
    </w:p>
    <w:p>
      <w:pPr>
        <w:spacing w:after="0" w:line="183" w:lineRule="exact"/>
        <w:rPr>
          <w:sz w:val="20"/>
          <w:szCs w:val="20"/>
          <w:color w:val="auto"/>
        </w:rPr>
      </w:pPr>
    </w:p>
    <w:p>
      <w:pPr>
        <w:ind w:left="160" w:right="60" w:firstLine="629"/>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Collective Bargaining</w:t>
      </w:r>
      <w:r>
        <w:rPr>
          <w:rFonts w:ascii="Arial" w:cs="Arial" w:eastAsia="Arial" w:hAnsi="Arial"/>
          <w:sz w:val="17"/>
          <w:szCs w:val="17"/>
          <w:color w:val="auto"/>
        </w:rPr>
        <w:t>. AbbVie shall cause the appropriate member of the AbbVie Group to assume all Liabilities arising under any collective bargaining agreement (including but not limited to any national, sector or local collective bargaining agreement) with respect to any Transferred Non-U.S. Employee. To the extent necessary, AbbVie shall cause the appropriate member of the AbbVie Group to join any industrial, employer or similar association or federation if membership is required for the relevant collective bargaining agreement to continue to apply.</w:t>
      </w:r>
    </w:p>
    <w:p>
      <w:pPr>
        <w:spacing w:after="0" w:line="176" w:lineRule="exact"/>
        <w:rPr>
          <w:sz w:val="20"/>
          <w:szCs w:val="20"/>
          <w:color w:val="auto"/>
        </w:rPr>
      </w:pPr>
    </w:p>
    <w:p>
      <w:pPr>
        <w:jc w:val="both"/>
        <w:ind w:left="160" w:right="280" w:firstLine="629"/>
        <w:spacing w:after="0" w:line="273"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Distributorship Model</w:t>
      </w:r>
      <w:r>
        <w:rPr>
          <w:rFonts w:ascii="Arial" w:cs="Arial" w:eastAsia="Arial" w:hAnsi="Arial"/>
          <w:sz w:val="17"/>
          <w:szCs w:val="17"/>
          <w:color w:val="auto"/>
        </w:rPr>
        <w:t>. In the event that AbbVie operates any Deferred AbbVie Local Business through a local distributor rather than through an Affiliate, AbbVie agrees to use its best efforts to cause such local distributor to employ the AbbVie Employees on similar terms and conditions of employment.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QUALIFIED AND NON-QUALIFIED RETIREMENT PLANS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AbbVie Pension Plan</w:t>
      </w:r>
      <w:r>
        <w:rPr>
          <w:rFonts w:ascii="Arial" w:cs="Arial" w:eastAsia="Arial" w:hAnsi="Arial"/>
          <w:sz w:val="17"/>
          <w:szCs w:val="17"/>
          <w:color w:val="auto"/>
        </w:rPr>
        <w:t>.</w:t>
      </w:r>
    </w:p>
    <w:p>
      <w:pPr>
        <w:spacing w:after="0" w:line="224" w:lineRule="exact"/>
        <w:rPr>
          <w:sz w:val="20"/>
          <w:szCs w:val="20"/>
          <w:color w:val="auto"/>
        </w:rPr>
      </w:pPr>
    </w:p>
    <w:p>
      <w:pPr>
        <w:ind w:right="200" w:firstLine="1263"/>
        <w:spacing w:after="0" w:line="285" w:lineRule="auto"/>
        <w:tabs>
          <w:tab w:leader="none" w:pos="1898"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Establishment of AbbVie Pension Plan</w:t>
      </w:r>
      <w:r>
        <w:rPr>
          <w:rFonts w:ascii="Arial" w:cs="Arial" w:eastAsia="Arial" w:hAnsi="Arial"/>
          <w:sz w:val="16"/>
          <w:szCs w:val="16"/>
          <w:color w:val="auto"/>
        </w:rPr>
        <w:t>. Effective as of or before the Distribution Date, AbbVie shall establish the AbbVie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 which shall be substantially similar to, and shall include a benefit formula that is the same as the benefit formula in effect under, the Abbott ARP as of the Distribution Date. As soon as practicable after the Distribution Date and upon receipt by Abbott of (i) a copy of the AbbVie Pension Plan; (ii) copies of certified resolutions of the AbbVie Board (or its authorized committee or other delegate) evidencing adoption of the AbbVie Pension Plan and any related trust(s) and the assumption by the AbbVie Pension Plan of the Liabilities described in </w:t>
      </w:r>
      <w:r>
        <w:rPr>
          <w:rFonts w:ascii="Arial" w:cs="Arial" w:eastAsia="Arial" w:hAnsi="Arial"/>
          <w:sz w:val="16"/>
          <w:szCs w:val="16"/>
          <w:u w:val="single" w:color="auto"/>
          <w:color w:val="auto"/>
        </w:rPr>
        <w:t>Section 3.01(b)</w:t>
      </w:r>
      <w:r>
        <w:rPr>
          <w:rFonts w:ascii="Arial" w:cs="Arial" w:eastAsia="Arial" w:hAnsi="Arial"/>
          <w:sz w:val="16"/>
          <w:szCs w:val="16"/>
          <w:color w:val="auto"/>
        </w:rPr>
        <w:t>; and (iii) either (A) a favorable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determination letter issued by the Internal Revenue Service with respect to the AbbVie Pension Plan and any related trust, or (B) an opinion of counsel, which counsel and opinion are reasonably satisfactory to Abbott, with respect to the qualified status of the AbbVie Pension Plan under Code Section 401(a) and the tax-exempt status of any related trust under Code Section 501(a), Abbott shall direct the trustee of the Abbott Trust to transfer from the portion of the Abbott Trust that holds assets of the Abbott ARP to the portion of the Abbott Trust that holds assets of the AbbVie Pension Plan the amounts described in </w:t>
      </w:r>
      <w:r>
        <w:rPr>
          <w:rFonts w:ascii="Arial" w:cs="Arial" w:eastAsia="Arial" w:hAnsi="Arial"/>
          <w:sz w:val="16"/>
          <w:szCs w:val="16"/>
          <w:u w:val="single" w:color="auto"/>
          <w:color w:val="auto"/>
        </w:rPr>
        <w:t>Section 3.01(b)</w:t>
      </w:r>
      <w:r>
        <w:rPr>
          <w:rFonts w:ascii="Arial" w:cs="Arial" w:eastAsia="Arial" w:hAnsi="Arial"/>
          <w:sz w:val="16"/>
          <w:szCs w:val="16"/>
          <w:color w:val="auto"/>
        </w:rPr>
        <w:t>.</w:t>
      </w:r>
    </w:p>
    <w:p>
      <w:pPr>
        <w:spacing w:after="0" w:line="159" w:lineRule="exact"/>
        <w:rPr>
          <w:sz w:val="20"/>
          <w:szCs w:val="20"/>
          <w:color w:val="auto"/>
        </w:rPr>
      </w:pPr>
    </w:p>
    <w:p>
      <w:pPr>
        <w:ind w:left="1900" w:hanging="637"/>
        <w:spacing w:after="0"/>
        <w:tabs>
          <w:tab w:leader="none" w:pos="190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ERISA Section 4044 Transfer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76" w:lineRule="auto"/>
        <w:tabs>
          <w:tab w:leader="none" w:pos="254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As of the Distribution Date, AbbVie shall cause the AbbVie Pension Plan to accept Assets and assume all Liabilities under the Abbott ARP for Transferred Employees (other than Post-Distribution AbbVie Employees) and AbbVie LTD Participants (including Assets and Liabilities in respect of beneficiaries and/or alternate payees) and the Abbott ARP shall transfer all such Assets and be relieved of such Liabilities. The amount of Assets to be transferred from the Abbott ARP to the AbbVie Pension Plan in such transfer (or transfers) shall be determined as of the Distribution Date in accordance with, and shall comply with, Code Section 414(l) and, to the extent deemed applicable by the Parties, ERISA Section 4044, and shall take into account the transfer (or transfers) of Assets described in </w:t>
      </w:r>
      <w:r>
        <w:rPr>
          <w:rFonts w:ascii="Arial" w:cs="Arial" w:eastAsia="Arial" w:hAnsi="Arial"/>
          <w:sz w:val="16"/>
          <w:szCs w:val="16"/>
          <w:u w:val="single" w:color="auto"/>
          <w:color w:val="auto"/>
        </w:rPr>
        <w:t>Section 3.02(b)</w:t>
      </w:r>
      <w:r>
        <w:rPr>
          <w:rFonts w:ascii="Arial" w:cs="Arial" w:eastAsia="Arial" w:hAnsi="Arial"/>
          <w:sz w:val="16"/>
          <w:szCs w:val="16"/>
          <w:color w:val="auto"/>
        </w:rPr>
        <w:t>. Assumptions used to determine the value (or amount) of the Assets to be transferred shall be the safe harbor assumptions specified for valuing benefits in trusteed plans under Department of Labor Regulations Section 4044.51-57 and, to the extent not so specified, shall be based on the assumptions used in the annual valuation report most recently prepared prior to the transfer by the actuary for the Abbott ARP. The transfer amount described above shall be credited or debited, as applicable, with a pro rata share of the actual investment earnings or losses allocable to the transfer amount for the period between the Distribution Date and an assessment date set by Abbott that is as close as practicable, taking into account the timing and reporting of valuation of assets in the Abbott Trust, to the date upon which Assets equal in value to the transfer amount are actually transferred from the Abbott ARP to the AbbVie Pension Plan. During the time prior to such transfer, benefits for Transferred Employees who terminate employment with the AbbVie Group and for AbbVie LTD Participants shall be paid from the Abbott ARP. The ultimate transfer amount shall be reduced by the amount of these benefits and credited or debited by the actual investment earnings or losses from the payment date to the assessment date set by Abbott above. In addition, during this period, AbbVie will be responsible for a pro rata share of trustee and administration fees attributable to the AbbVie Pension Plan assets that remain in the Abbott ARP. The entries in the Abbott ARP funding standard account shall be divided among the Abbott ARP, the AbbVie Pension Plan, and the Abbott-AbbVie MEPP based on the guidance provided in Revenue Ruling 81-212 and 86-47.</w:t>
      </w:r>
    </w:p>
    <w:p>
      <w:pPr>
        <w:spacing w:after="0" w:line="176" w:lineRule="exact"/>
        <w:rPr>
          <w:rFonts w:ascii="Arial" w:cs="Arial" w:eastAsia="Arial" w:hAnsi="Arial"/>
          <w:sz w:val="16"/>
          <w:szCs w:val="16"/>
          <w:color w:val="auto"/>
        </w:rPr>
      </w:pPr>
    </w:p>
    <w:p>
      <w:pPr>
        <w:ind w:left="640" w:right="100" w:firstLine="1253"/>
        <w:spacing w:after="0" w:line="268" w:lineRule="auto"/>
        <w:tabs>
          <w:tab w:leader="none" w:pos="255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Periodically, at such times as agreed upon by the Parties after the transfer(s) described in </w:t>
      </w:r>
      <w:r>
        <w:rPr>
          <w:rFonts w:ascii="Arial" w:cs="Arial" w:eastAsia="Arial" w:hAnsi="Arial"/>
          <w:sz w:val="17"/>
          <w:szCs w:val="17"/>
          <w:u w:val="single" w:color="auto"/>
          <w:color w:val="auto"/>
        </w:rPr>
        <w:t>Section 3.01(b)(i)</w:t>
      </w:r>
      <w:r>
        <w:rPr>
          <w:rFonts w:ascii="Arial" w:cs="Arial" w:eastAsia="Arial" w:hAnsi="Arial"/>
          <w:sz w:val="17"/>
          <w:szCs w:val="17"/>
          <w:color w:val="auto"/>
        </w:rPr>
        <w:t>, (A) AbbVie shall cause the AbbVie Pension Plan to receive Assets and assume all Liabilities under the Abbott ARP for Post-Distribution AbbVie Employees and other Employees who cease to be employed by Abbott after the Distribution Date and become employed by AbbVie during the Transition Period (including Assets and Liabilities in respect of beneficiaries and/or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0"/>
        <w:spacing w:after="0" w:line="285" w:lineRule="auto"/>
        <w:rPr>
          <w:sz w:val="20"/>
          <w:szCs w:val="20"/>
          <w:color w:val="auto"/>
        </w:rPr>
      </w:pPr>
      <w:r>
        <w:rPr>
          <w:rFonts w:ascii="Arial" w:cs="Arial" w:eastAsia="Arial" w:hAnsi="Arial"/>
          <w:sz w:val="16"/>
          <w:szCs w:val="16"/>
          <w:color w:val="auto"/>
        </w:rPr>
        <w:t xml:space="preserve">alternate payees) and the Abbott ARP shall transfer all such Assets and be relieved of such Liabilities, and (B) Abbott shall cause the Abbott ARP to receive Assets and assume all Liabilities under the AbbVie Pension Plan for Employees who cease to be employed by AbbVie after the Distribution Date and become employed by Abbott during the Transition Period (including Assets and Liabilities in respect of beneficiaries and/or alternate payees) and the AbbVie Pension Plan shall transfer all such Assets and be relieved of such Liabilities. The amount of such Assets to be transferred shall be determined as provided in </w:t>
      </w:r>
      <w:r>
        <w:rPr>
          <w:rFonts w:ascii="Arial" w:cs="Arial" w:eastAsia="Arial" w:hAnsi="Arial"/>
          <w:sz w:val="16"/>
          <w:szCs w:val="16"/>
          <w:u w:val="single" w:color="auto"/>
          <w:color w:val="auto"/>
        </w:rPr>
        <w:t>Section 3.01(b)(i)</w:t>
      </w:r>
      <w:r>
        <w:rPr>
          <w:rFonts w:ascii="Arial" w:cs="Arial" w:eastAsia="Arial" w:hAnsi="Arial"/>
          <w:sz w:val="16"/>
          <w:szCs w:val="16"/>
          <w:color w:val="auto"/>
        </w:rPr>
        <w:t xml:space="preserve"> and shall be subject to the applicable provisions of </w:t>
      </w:r>
      <w:r>
        <w:rPr>
          <w:rFonts w:ascii="Arial" w:cs="Arial" w:eastAsia="Arial" w:hAnsi="Arial"/>
          <w:sz w:val="16"/>
          <w:szCs w:val="16"/>
          <w:u w:val="single" w:color="auto"/>
          <w:color w:val="auto"/>
        </w:rPr>
        <w:t>Section 3.01(b)(i)</w:t>
      </w:r>
      <w:r>
        <w:rPr>
          <w:rFonts w:ascii="Arial" w:cs="Arial" w:eastAsia="Arial" w:hAnsi="Arial"/>
          <w:sz w:val="16"/>
          <w:szCs w:val="16"/>
          <w:color w:val="auto"/>
        </w:rPr>
        <w:t>.</w:t>
      </w:r>
    </w:p>
    <w:p>
      <w:pPr>
        <w:spacing w:after="0" w:line="166" w:lineRule="exact"/>
        <w:rPr>
          <w:sz w:val="20"/>
          <w:szCs w:val="20"/>
          <w:color w:val="auto"/>
        </w:rPr>
      </w:pPr>
    </w:p>
    <w:p>
      <w:pPr>
        <w:ind w:left="1900" w:hanging="637"/>
        <w:spacing w:after="0"/>
        <w:tabs>
          <w:tab w:leader="none" w:pos="190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AbbVie Pension Plan Provisions</w:t>
      </w:r>
      <w:r>
        <w:rPr>
          <w:rFonts w:ascii="Arial" w:cs="Arial" w:eastAsia="Arial" w:hAnsi="Arial"/>
          <w:sz w:val="17"/>
          <w:szCs w:val="17"/>
          <w:color w:val="auto"/>
        </w:rPr>
        <w:t>. The AbbVie Pension Plan shall provide that:</w:t>
      </w:r>
    </w:p>
    <w:p>
      <w:pPr>
        <w:spacing w:after="0" w:line="224" w:lineRule="exact"/>
        <w:rPr>
          <w:rFonts w:ascii="Arial" w:cs="Arial" w:eastAsia="Arial" w:hAnsi="Arial"/>
          <w:sz w:val="17"/>
          <w:szCs w:val="17"/>
          <w:color w:val="auto"/>
        </w:rPr>
      </w:pPr>
    </w:p>
    <w:p>
      <w:pPr>
        <w:ind w:left="640" w:right="120" w:firstLine="1253"/>
        <w:spacing w:after="0" w:line="360" w:lineRule="auto"/>
        <w:tabs>
          <w:tab w:leader="none" w:pos="2548"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Transferred Employees and AbbVie LTD Participants shall (A) be eligible to participate in the AbbVie Pension Plan as of the applicable Transfer Date to the extent they were eligible to participate in the Abbott ARP as of the applicable Transfer Date, and (B) receive credit for</w:t>
      </w:r>
    </w:p>
    <w:p>
      <w:pPr>
        <w:sectPr>
          <w:pgSz w:w="11900" w:h="16838" w:orient="portrait"/>
          <w:cols w:equalWidth="0" w:num="1">
            <w:col w:w="11420"/>
          </w:cols>
          <w:pgMar w:left="240" w:top="127" w:right="239" w:bottom="0" w:gutter="0" w:footer="0" w:header="0"/>
        </w:sectPr>
      </w:pPr>
    </w:p>
    <w:bookmarkStart w:id="52" w:name="page53"/>
    <w:bookmarkEnd w:id="52"/>
    <w:p>
      <w:pPr>
        <w:spacing w:after="0" w:line="15" w:lineRule="exact"/>
        <w:rPr>
          <w:sz w:val="20"/>
          <w:szCs w:val="20"/>
          <w:color w:val="auto"/>
        </w:rPr>
      </w:pPr>
    </w:p>
    <w:p>
      <w:pPr>
        <w:ind w:left="640" w:right="20"/>
        <w:spacing w:after="0" w:line="289" w:lineRule="auto"/>
        <w:rPr>
          <w:sz w:val="20"/>
          <w:szCs w:val="20"/>
          <w:color w:val="auto"/>
        </w:rPr>
      </w:pPr>
      <w:r>
        <w:rPr>
          <w:rFonts w:ascii="Arial" w:cs="Arial" w:eastAsia="Arial" w:hAnsi="Arial"/>
          <w:sz w:val="17"/>
          <w:szCs w:val="17"/>
          <w:color w:val="auto"/>
        </w:rPr>
        <w:t>vesting, eligibility and benefit service for all service credited for those purposes under the Abbott ARP as of the applicable Transfer Date as if that service had been rendered to AbbVie;</w:t>
      </w:r>
    </w:p>
    <w:p>
      <w:pPr>
        <w:spacing w:after="0" w:line="158" w:lineRule="exact"/>
        <w:rPr>
          <w:sz w:val="20"/>
          <w:szCs w:val="20"/>
          <w:color w:val="auto"/>
        </w:rPr>
      </w:pPr>
    </w:p>
    <w:p>
      <w:pPr>
        <w:ind w:left="640" w:right="20" w:firstLine="1253"/>
        <w:spacing w:after="0" w:line="273" w:lineRule="auto"/>
        <w:tabs>
          <w:tab w:leader="none" w:pos="255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compensation paid by the Abbott Group to a Transferred Employee or an AbbVie LTD Participant that is recognized under the Abbott ARP as of the applicable Transfer Date shall be credited and recognized for all applicable purposes under the AbbVie Pension Plan as though it were compensation from the AbbVie Group;</w:t>
      </w:r>
    </w:p>
    <w:p>
      <w:pPr>
        <w:spacing w:after="0" w:line="171" w:lineRule="exact"/>
        <w:rPr>
          <w:rFonts w:ascii="Arial" w:cs="Arial" w:eastAsia="Arial" w:hAnsi="Arial"/>
          <w:sz w:val="17"/>
          <w:szCs w:val="17"/>
          <w:color w:val="auto"/>
        </w:rPr>
      </w:pPr>
    </w:p>
    <w:p>
      <w:pPr>
        <w:ind w:left="640" w:right="40" w:firstLine="1253"/>
        <w:spacing w:after="0" w:line="265" w:lineRule="auto"/>
        <w:tabs>
          <w:tab w:leader="none" w:pos="256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accrued benefit of each Transferred Employee and each AbbVie LTD Participant under the Abbott ARP as of the applicable Transfer Date shall be payable under the AbbVie Pension Plan at the time and in a form that would have been permitted under the Abbott ARP as in effect as of the applicable Transfer Date, with employment by the Abbott Group prior to the applicable Transfer Date treated as employment by the AbbVie Group under the AbbVie Pension Plan for purposes of determining eligibility for optional forms of benefit, early retirement benefits, or other benefit forms;</w:t>
      </w:r>
    </w:p>
    <w:p>
      <w:pPr>
        <w:spacing w:after="0" w:line="179" w:lineRule="exact"/>
        <w:rPr>
          <w:rFonts w:ascii="Arial" w:cs="Arial" w:eastAsia="Arial" w:hAnsi="Arial"/>
          <w:sz w:val="17"/>
          <w:szCs w:val="17"/>
          <w:color w:val="auto"/>
        </w:rPr>
      </w:pPr>
    </w:p>
    <w:p>
      <w:pPr>
        <w:ind w:left="640" w:right="260" w:firstLine="1253"/>
        <w:spacing w:after="0" w:line="289" w:lineRule="auto"/>
        <w:tabs>
          <w:tab w:leader="none" w:pos="254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AbbVie Pension Plan shall assume and honor the terms of all QDROs in effect under the Abbott ARP as of the Transfer Date with respect to Transferred Employees and AbbVie LTD Participants;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 Assets shall be transferred from the Code Section 401(h) account in the Abbott ARP to the AbbVie Pension Plan.</w:t>
      </w:r>
    </w:p>
    <w:p>
      <w:pPr>
        <w:spacing w:after="0" w:line="224" w:lineRule="exact"/>
        <w:rPr>
          <w:sz w:val="20"/>
          <w:szCs w:val="20"/>
          <w:color w:val="auto"/>
        </w:rPr>
      </w:pPr>
    </w:p>
    <w:p>
      <w:pPr>
        <w:ind w:right="40" w:firstLine="1263"/>
        <w:spacing w:after="0" w:line="268" w:lineRule="auto"/>
        <w:tabs>
          <w:tab w:leader="none" w:pos="189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Determination Letter Request</w:t>
      </w:r>
      <w:r>
        <w:rPr>
          <w:rFonts w:ascii="Arial" w:cs="Arial" w:eastAsia="Arial" w:hAnsi="Arial"/>
          <w:sz w:val="17"/>
          <w:szCs w:val="17"/>
          <w:color w:val="auto"/>
        </w:rPr>
        <w:t>. AbbVie shall submit an application to the Internal Revenue Service as soon as practicable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Date (but no later than the last day of the remedial amendment period as defined in applicable Code provisions) for a determination letter regarding the qualification of the AbbVie Pension Plan and the tax status of its related trust as of the Distribution Date and shall make any amendments reasonably requested by the Internal Revenue Service to receive a favorable determination letter regarding the AbbVie Pension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1263"/>
        <w:spacing w:after="0" w:line="268" w:lineRule="auto"/>
        <w:tabs>
          <w:tab w:leader="none" w:pos="1898"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Abbott ARP after Distribution Date</w:t>
      </w:r>
      <w:r>
        <w:rPr>
          <w:rFonts w:ascii="Arial" w:cs="Arial" w:eastAsia="Arial" w:hAnsi="Arial"/>
          <w:sz w:val="17"/>
          <w:szCs w:val="17"/>
          <w:color w:val="auto"/>
        </w:rPr>
        <w:t>. From and after the Distribution Date, (i) the Abbott ARP shall continue to be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respect of Abbott Retained Employees and Abbott LTD Participants, and (ii) no Employees of the AbbVie Group (other than Post-Distribution AbbVie Employees) shall accrue any benefits under the Abbott ARP. Without limiting the generality of the foregoing, Transferred Employees and AbbVie LTD Participants shall cease to be active participants in the Abbott ARP effective as of the applicable Transfer Date.</w:t>
      </w:r>
    </w:p>
    <w:p>
      <w:pPr>
        <w:spacing w:after="0" w:line="175" w:lineRule="exact"/>
        <w:rPr>
          <w:rFonts w:ascii="Arial" w:cs="Arial" w:eastAsia="Arial" w:hAnsi="Arial"/>
          <w:sz w:val="17"/>
          <w:szCs w:val="17"/>
          <w:color w:val="auto"/>
        </w:rPr>
      </w:pPr>
    </w:p>
    <w:p>
      <w:pPr>
        <w:ind w:firstLine="1263"/>
        <w:spacing w:after="0" w:line="280" w:lineRule="auto"/>
        <w:tabs>
          <w:tab w:leader="none" w:pos="190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Plan Fiduciaries</w:t>
      </w:r>
      <w:r>
        <w:rPr>
          <w:rFonts w:ascii="Arial" w:cs="Arial" w:eastAsia="Arial" w:hAnsi="Arial"/>
          <w:sz w:val="16"/>
          <w:szCs w:val="16"/>
          <w:color w:val="auto"/>
        </w:rPr>
        <w:t>. For all periods after the Distribution Date, the Parties agree that the applicable fiduciaries of each of the Abbott ARP</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AbbVie Pension Plan, respectively, shall have the authority with respect to the Abbott ARP and the AbbVie Pension Plan, respectively, to determine the plan investments and such other matters as are within the scope of their duties under ERISA Section 404. Unless and until the applicable fiduciaries of the AbbVie Pension Plan determine that it is desired to invest the Assets of the AbbVie Pension Plan in a separate trust, the Assets of the AbbVie Pension Plan shall be invested through the Abbott Trust. At such time as the applicable fiduciaries of the AbbVie Pension Plan determine that it is desired to invest the Assets of the AbbVie Pension Plan in a separate trust, Abbott shall direct the trustee of the Abbott Trust to transfer from the Abbott Trust to the trust(s) which forms a part of the AbbVie Pension Plan Assets equal in value to the Assets of AbbVie Pension Plan, with the composition of such assets to be mutually determined by the applicable fiduciaries of the AbbVie Pension Plan, the Abbott-AbbVie MEPP and the Abbott Trust.</w:t>
      </w:r>
    </w:p>
    <w:p>
      <w:pPr>
        <w:spacing w:after="0" w:line="170" w:lineRule="exact"/>
        <w:rPr>
          <w:rFonts w:ascii="Arial" w:cs="Arial" w:eastAsia="Arial" w:hAnsi="Arial"/>
          <w:sz w:val="16"/>
          <w:szCs w:val="16"/>
          <w:color w:val="auto"/>
        </w:rPr>
      </w:pPr>
    </w:p>
    <w:p>
      <w:pPr>
        <w:jc w:val="both"/>
        <w:ind w:firstLine="1263"/>
        <w:spacing w:after="0" w:line="273" w:lineRule="auto"/>
        <w:tabs>
          <w:tab w:leader="none" w:pos="1895"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No Loss of Unvested Benefits; No Distributions</w:t>
      </w:r>
      <w:r>
        <w:rPr>
          <w:rFonts w:ascii="Arial" w:cs="Arial" w:eastAsia="Arial" w:hAnsi="Arial"/>
          <w:sz w:val="17"/>
          <w:szCs w:val="17"/>
          <w:color w:val="auto"/>
        </w:rPr>
        <w:t>. The transfer of any Transferred Employee’s employment to the AbbVie Group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loss of that Transferred Employee’s unvested benefits under the Abbott ARP or the AbbVie Pension Plan and no Transferred Employee shall be entitled to a distribution of his or her benefit under the Abbott ARP as a result of such transfer of employment.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Abbott-AbbVie Multiple Employer Pension Plan</w:t>
      </w:r>
      <w:r>
        <w:rPr>
          <w:rFonts w:ascii="Arial" w:cs="Arial" w:eastAsia="Arial" w:hAnsi="Arial"/>
          <w:sz w:val="17"/>
          <w:szCs w:val="17"/>
          <w:color w:val="auto"/>
        </w:rPr>
        <w:t>.</w:t>
      </w:r>
    </w:p>
    <w:p>
      <w:pPr>
        <w:spacing w:after="0" w:line="224" w:lineRule="exact"/>
        <w:rPr>
          <w:sz w:val="20"/>
          <w:szCs w:val="20"/>
          <w:color w:val="auto"/>
        </w:rPr>
      </w:pPr>
    </w:p>
    <w:p>
      <w:pPr>
        <w:ind w:right="40" w:firstLine="1263"/>
        <w:spacing w:after="0" w:line="278" w:lineRule="auto"/>
        <w:tabs>
          <w:tab w:leader="none" w:pos="1898"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Establishment of Abbott-AbbVie MEPP</w:t>
      </w:r>
      <w:r>
        <w:rPr>
          <w:rFonts w:ascii="Arial" w:cs="Arial" w:eastAsia="Arial" w:hAnsi="Arial"/>
          <w:sz w:val="16"/>
          <w:szCs w:val="16"/>
          <w:color w:val="auto"/>
        </w:rPr>
        <w:t>. Effective as of or before the Distribution Date, the Parties shall establish the Abbott-AbbVie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MEPP, which shall provide benefits for Former Employees (other than LTD Participants) participating in the Abbott ARP immediately prior to the Distribution Date. The benefits provided by the Abbott-AbbVie MEPP to a Former Employee shall be the same as those the Former Employee would have received or is receiving under the Abbott ARP as of the Distribution Date. As soon as practicable after the Distribution Date and upon (i) receipt by (A) AbbVie of copies of certified resolutions of the Abbott Board (or its authorized committee or other delegate) evidencing adoption of the Abbott-AbbVie MEPP and any related trust(s), and (B) Abbott of copies of certified resolutions of the AbbVie Board (or its authorized committee or other delegate) evidencing adoption of the Abbott-AbbVie MEPP and any related trust(s); and (ii) issuance of either (A) a favorable determination letter by the Internal Revenue Service with respect to the Abbott-AbbVie MEPP and any related trust, or (B) an opinion of counsel, which counsel and opinion are reasonably satisfactory to the other of Abbott or AbbVie, with respect to the qualified status of the Abbott-AbbVie MEPP under Code Section 401(a) and the tax-exempt status of any related trust under Code Section 501(a), Abbott shall direct the trustee of the Abbott Trust to transfer from the portion of the Abbott Trust that holds assets of the Abbott ARP to the portion of the Abbott Trust that holds assets of the Abbott-AbbVie MEPP the amounts described in </w:t>
      </w:r>
      <w:r>
        <w:rPr>
          <w:rFonts w:ascii="Arial" w:cs="Arial" w:eastAsia="Arial" w:hAnsi="Arial"/>
          <w:sz w:val="16"/>
          <w:szCs w:val="16"/>
          <w:u w:val="single" w:color="auto"/>
          <w:color w:val="auto"/>
        </w:rPr>
        <w:t>Section 3.02(b)</w:t>
      </w:r>
      <w:r>
        <w:rPr>
          <w:rFonts w:ascii="Arial" w:cs="Arial" w:eastAsia="Arial" w:hAnsi="Arial"/>
          <w:sz w:val="16"/>
          <w:szCs w:val="16"/>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ERISA Section 4044 Transfer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20" w:firstLine="1253"/>
        <w:spacing w:after="0" w:line="277" w:lineRule="auto"/>
        <w:tabs>
          <w:tab w:leader="none" w:pos="254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As of the Distribution Date, the Parties shall cause the Abbott-AbbVie MEPP to accept Assets and assume all Liabilities under the Abbott ARP for Former Employees (other than LTD Participants) who were participating in the Abbott ARP as of immediately prior to the Distribution Date (including Assets and Liabilities in respect of beneficiaries and/or alternate payees established in relation to such Former Employees) and the Abbott ARP shall transfer all such Assets and be relieved of such Liabilities. The amount of Assets to be transferred from the Abbott ARP to the Abbott-AbbVie MEPP in such transfer (or transfers) shall be determined as of the Distribution Date in accordance with, and shall comply with, Code Section 414(l) and, to the extent deemed applicable by the Parties, ERISA Section 4044, and shall take into account the transfer (or transfers) of Assets described in </w:t>
      </w:r>
      <w:r>
        <w:rPr>
          <w:rFonts w:ascii="Arial" w:cs="Arial" w:eastAsia="Arial" w:hAnsi="Arial"/>
          <w:sz w:val="16"/>
          <w:szCs w:val="16"/>
          <w:u w:val="single" w:color="auto"/>
          <w:color w:val="auto"/>
        </w:rPr>
        <w:t>Section 3.01(b)</w:t>
      </w:r>
      <w:r>
        <w:rPr>
          <w:rFonts w:ascii="Arial" w:cs="Arial" w:eastAsia="Arial" w:hAnsi="Arial"/>
          <w:sz w:val="16"/>
          <w:szCs w:val="16"/>
          <w:color w:val="auto"/>
        </w:rPr>
        <w:t>. Assumptions used to determine the value of the Assets to be transferred shall be the safe harbor assumptions specified for valuing benefits in trusteed plans under Department of Labor Regulations Section 4044.51-57 and, to the extent not so specified, shall be based on the assumptions used in the annual valuation report most recently prepared prior to the transfer by the actuary for the Abbott ARP. The transfer amount described above shall be credited or debited, as applicable, with a pro rata share of the actual investment earnings or losses allocable to the transfer amount for the period between the Distribution Date and an assessment date set by Abbott that is as close as practicable, taking into account the timing and reporting of valuation of assets in the Abbott Trust, to the date upon which Assets are equal in value to the transfer amount actually transferred from the Abbott ARP to the Abbott-AbbVie MEPP. During the time prior to such transfer, benefits for Former Employees shall be paid from the Abbott ARP.</w:t>
      </w:r>
    </w:p>
    <w:p>
      <w:pPr>
        <w:sectPr>
          <w:pgSz w:w="11900" w:h="16853" w:orient="portrait"/>
          <w:cols w:equalWidth="0" w:num="1">
            <w:col w:w="11420"/>
          </w:cols>
          <w:pgMar w:left="240" w:top="127" w:right="239" w:bottom="0" w:gutter="0" w:footer="0" w:header="0"/>
        </w:sectPr>
      </w:pPr>
    </w:p>
    <w:bookmarkStart w:id="53" w:name="page54"/>
    <w:bookmarkEnd w:id="53"/>
    <w:p>
      <w:pPr>
        <w:ind w:left="640"/>
        <w:spacing w:after="0" w:line="265" w:lineRule="auto"/>
        <w:rPr>
          <w:sz w:val="20"/>
          <w:szCs w:val="20"/>
          <w:color w:val="auto"/>
        </w:rPr>
      </w:pPr>
      <w:r>
        <w:rPr>
          <w:rFonts w:ascii="Arial" w:cs="Arial" w:eastAsia="Arial" w:hAnsi="Arial"/>
          <w:sz w:val="17"/>
          <w:szCs w:val="17"/>
          <w:color w:val="auto"/>
        </w:rPr>
        <w:t>The ultimate transfer amount shall be reduced by the amount of these benefits payable to Former Employees who are not LTD Participants and credited or debited by the actual investment earnings or losses from the payment date to the assessment date set by Abbott above. In addition, during this period, each Party will be responsible for a pro rata share of trustee and administration fees attributable to the Abbott-AbbVie MEPP assets that remain in the Abbott ARP. The entries in the Abbott ARP funding standard account shall be divided among the Abbott ARP, the AbbVie Pension Plan, and the Abbott-AbbVie MEPP based on the guidance provided in Revenue Rulings 81-212 and 86-47.</w:t>
      </w:r>
    </w:p>
    <w:p>
      <w:pPr>
        <w:spacing w:after="0" w:line="179" w:lineRule="exact"/>
        <w:rPr>
          <w:sz w:val="20"/>
          <w:szCs w:val="20"/>
          <w:color w:val="auto"/>
        </w:rPr>
      </w:pPr>
    </w:p>
    <w:p>
      <w:pPr>
        <w:ind w:left="640" w:right="40" w:firstLine="1253"/>
        <w:spacing w:after="0" w:line="281" w:lineRule="auto"/>
        <w:tabs>
          <w:tab w:leader="none" w:pos="25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Periodically, at such times as agreed upon by the Parties after the transfer(s) described in subparagraph (i) above, (A) AbbVie shall cause the AbbVie Pension Plan to receive Assets and assume all Liabilities under the Abbott-AbbVie MEPP for participants in the Abbott-AbbVie MEPP who become employed by AbbVie during the Transition Period (including Assets and Liabilities in respect of beneficiaries and/or alternate payees) and the Abbott-AbbVie MEPP shall transfer all such Assets and be relieved of such Liabilities, and (B) Abbott shall cause the Abbott ARP to receive Assets and assume all Liabilities under the Abbott-AbbVie MEPP for participants in the Abbott-AbbVie MEPP who become employed by Abbott during the Transition Period (including Assets and Liabilities in respect of beneficiaries and/or alternate payees) and the Abbott-AbbVie MEPP shall transfer all such Assets and be relieved of such Liabilities. The amount of such Assets to be transferred shall be determined as provided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and shall be subject to the applicable provisions of </w:t>
      </w:r>
      <w:r>
        <w:rPr>
          <w:rFonts w:ascii="Arial" w:cs="Arial" w:eastAsia="Arial" w:hAnsi="Arial"/>
          <w:sz w:val="17"/>
          <w:szCs w:val="17"/>
          <w:u w:val="single" w:color="auto"/>
          <w:color w:val="auto"/>
        </w:rPr>
        <w:t>Section 3.02(b)(i)</w:t>
      </w:r>
      <w:r>
        <w:rPr>
          <w:rFonts w:ascii="Arial" w:cs="Arial" w:eastAsia="Arial" w:hAnsi="Arial"/>
          <w:sz w:val="17"/>
          <w:szCs w:val="17"/>
          <w:color w:val="auto"/>
        </w:rPr>
        <w:t>.</w:t>
      </w:r>
    </w:p>
    <w:p>
      <w:pPr>
        <w:spacing w:after="0" w:line="224" w:lineRule="exact"/>
        <w:rPr>
          <w:sz w:val="20"/>
          <w:szCs w:val="20"/>
          <w:color w:val="auto"/>
        </w:rPr>
      </w:pPr>
    </w:p>
    <w:p>
      <w:pPr>
        <w:ind w:left="1900" w:hanging="637"/>
        <w:spacing w:after="0"/>
        <w:tabs>
          <w:tab w:leader="none" w:pos="190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Abbott-AbbVie MEPP Provisions</w:t>
      </w:r>
      <w:r>
        <w:rPr>
          <w:rFonts w:ascii="Arial" w:cs="Arial" w:eastAsia="Arial" w:hAnsi="Arial"/>
          <w:sz w:val="17"/>
          <w:szCs w:val="17"/>
          <w:color w:val="auto"/>
        </w:rPr>
        <w:t>. The Abbott-AbbVie MEPP shall provide that:</w:t>
      </w:r>
    </w:p>
    <w:p>
      <w:pPr>
        <w:spacing w:after="0" w:line="224" w:lineRule="exact"/>
        <w:rPr>
          <w:rFonts w:ascii="Arial" w:cs="Arial" w:eastAsia="Arial" w:hAnsi="Arial"/>
          <w:sz w:val="17"/>
          <w:szCs w:val="17"/>
          <w:color w:val="auto"/>
        </w:rPr>
      </w:pPr>
    </w:p>
    <w:p>
      <w:pPr>
        <w:ind w:left="640" w:right="320" w:firstLine="1253"/>
        <w:spacing w:after="0" w:line="289" w:lineRule="auto"/>
        <w:tabs>
          <w:tab w:leader="none" w:pos="254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benefit of each Former Employee participating in the Abbott-AbbVie MEPP shall be such Former Employee’s accrued benefit under the Abbott ARP immediately prior to the Distribution Date;</w:t>
      </w:r>
    </w:p>
    <w:p>
      <w:pPr>
        <w:spacing w:after="0" w:line="158" w:lineRule="exact"/>
        <w:rPr>
          <w:rFonts w:ascii="Arial" w:cs="Arial" w:eastAsia="Arial" w:hAnsi="Arial"/>
          <w:sz w:val="17"/>
          <w:szCs w:val="17"/>
          <w:color w:val="auto"/>
        </w:rPr>
      </w:pPr>
    </w:p>
    <w:p>
      <w:pPr>
        <w:ind w:left="640" w:right="140" w:firstLine="1253"/>
        <w:spacing w:after="0" w:line="360" w:lineRule="auto"/>
        <w:tabs>
          <w:tab w:leader="none" w:pos="2558"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accrued benefit of each Former Employee participating in the Abbott ARP as of the Distribution Date shall be paid under the Abbott-AbbVie MEPP at the time and in a form that would have been permitted under the Abbott ARP as in effect as of the Distribution Date;</w:t>
      </w:r>
    </w:p>
    <w:p>
      <w:pPr>
        <w:spacing w:after="0" w:line="111" w:lineRule="exact"/>
        <w:rPr>
          <w:rFonts w:ascii="Arial" w:cs="Arial" w:eastAsia="Arial" w:hAnsi="Arial"/>
          <w:sz w:val="15"/>
          <w:szCs w:val="15"/>
          <w:color w:val="auto"/>
        </w:rPr>
      </w:pPr>
    </w:p>
    <w:p>
      <w:pPr>
        <w:ind w:left="640" w:right="760" w:firstLine="1253"/>
        <w:spacing w:after="0" w:line="289" w:lineRule="auto"/>
        <w:tabs>
          <w:tab w:leader="none" w:pos="2567"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Abbott-AbbVie MEPP shall assume and honor the terms of all QDROs in effect under the Abbott ARP as of the Distribution Date with respect to participating Former Employees;</w:t>
      </w:r>
    </w:p>
    <w:p>
      <w:pPr>
        <w:spacing w:after="0" w:line="158" w:lineRule="exact"/>
        <w:rPr>
          <w:rFonts w:ascii="Arial" w:cs="Arial" w:eastAsia="Arial" w:hAnsi="Arial"/>
          <w:sz w:val="17"/>
          <w:szCs w:val="17"/>
          <w:color w:val="auto"/>
        </w:rPr>
      </w:pPr>
    </w:p>
    <w:p>
      <w:pPr>
        <w:ind w:left="640" w:right="180" w:firstLine="1253"/>
        <w:spacing w:after="0" w:line="273" w:lineRule="auto"/>
        <w:tabs>
          <w:tab w:leader="none" w:pos="254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certain individuals who were previously employed by TAP Pharmaceutical Products Inc. who are participating in the Abbott ARP as of immediately prior to the Distribution Date shall continue to earn vesting and seniority service for purposes of the Abbott-AbbVie MEPP in accordance with Supplement E of the Abbott ARP as in effect on the Distribution Date; and</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no assets shall be transferred from the Code Section 401(h) Account in the Abbott ARP to the Abbott-AbbVie MEPP.</w:t>
      </w:r>
    </w:p>
    <w:p>
      <w:pPr>
        <w:spacing w:after="0" w:line="224" w:lineRule="exact"/>
        <w:rPr>
          <w:rFonts w:ascii="Arial" w:cs="Arial" w:eastAsia="Arial" w:hAnsi="Arial"/>
          <w:sz w:val="17"/>
          <w:szCs w:val="17"/>
          <w:color w:val="auto"/>
        </w:rPr>
      </w:pPr>
    </w:p>
    <w:p>
      <w:pPr>
        <w:ind w:right="400" w:firstLine="1263"/>
        <w:spacing w:after="0" w:line="314" w:lineRule="auto"/>
        <w:tabs>
          <w:tab w:leader="none" w:pos="1895"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Determination Letter Request</w:t>
      </w:r>
      <w:r>
        <w:rPr>
          <w:rFonts w:ascii="Arial" w:cs="Arial" w:eastAsia="Arial" w:hAnsi="Arial"/>
          <w:sz w:val="15"/>
          <w:szCs w:val="15"/>
          <w:color w:val="auto"/>
        </w:rPr>
        <w:t>. The Parties shall cooperate and submit an application to the Internal Revenue Service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after the Distribution Date (but no later than the last day of the remedial amendment period as defined in applicable Code provisions) for a determination letter regarding the qualification of the Abbott-AbbVie MEPP and the tax-exempt status of its related trust as of the Distribution Date and shall make any amendments reasonably requested by the Internal Revenue Service to receive a favorable determination letter regarding the Abbott-AbbVie MEPP.</w:t>
      </w:r>
    </w:p>
    <w:p>
      <w:pPr>
        <w:spacing w:after="0" w:line="146" w:lineRule="exact"/>
        <w:rPr>
          <w:rFonts w:ascii="Arial" w:cs="Arial" w:eastAsia="Arial" w:hAnsi="Arial"/>
          <w:sz w:val="15"/>
          <w:szCs w:val="15"/>
          <w:color w:val="auto"/>
        </w:rPr>
      </w:pPr>
    </w:p>
    <w:p>
      <w:pPr>
        <w:ind w:right="120" w:firstLine="1263"/>
        <w:spacing w:after="0" w:line="281" w:lineRule="auto"/>
        <w:tabs>
          <w:tab w:leader="none" w:pos="1898"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Plan Fiduciaries</w:t>
      </w:r>
      <w:r>
        <w:rPr>
          <w:rFonts w:ascii="Arial" w:cs="Arial" w:eastAsia="Arial" w:hAnsi="Arial"/>
          <w:sz w:val="16"/>
          <w:szCs w:val="16"/>
          <w:color w:val="auto"/>
        </w:rPr>
        <w:t>. The fiduciaries of the Abbott-AbbVie MEPP shall be appointed, and shall have such rights, duties,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as shall be determined by mutual agreement of the Parties as set forth in the applicable plan and trust documents for the Abbott-AbbVie MEPP. Unless and until the applicable fiduciaries of the Abbott-AbbVie MEPP determine that it is desired to invest the Assets of the Abbott-AbbVie MEPP in a separate trust, the Assets of the Abbott-AbbVie MEPP shall be invested through the Abbott Trust. At such time as the applicable fiduciaries of the Abbott-AbbVie MEPP determine that it is desired to invest the Assets of the Abbott-AbbVie MEPP in a separate trust, Abbott shall direct the trustee of the Abbott Trust to transfer from the Abbott Trust to the trust(s) which forms a part of the Abbott-AbbVie MEPP Assets equal in value to the Assets of the Abbott-AbbVie MEPP, with the composition of such assets to be mutually determined by the applicable fiduciaries of the Abbott-AbbVie MEPP and the Abbott Trust.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63"/>
        <w:spacing w:after="0" w:line="268" w:lineRule="auto"/>
        <w:tabs>
          <w:tab w:leader="none" w:pos="1905"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Abbott-AbbVie MEPP after Distribution Date</w:t>
      </w:r>
      <w:r>
        <w:rPr>
          <w:rFonts w:ascii="Arial" w:cs="Arial" w:eastAsia="Arial" w:hAnsi="Arial"/>
          <w:sz w:val="17"/>
          <w:szCs w:val="17"/>
          <w:color w:val="auto"/>
        </w:rPr>
        <w:t>. From and after the Distribution Date, no individual shall accrue any benefits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Abbott-AbbVie MEPP. If a participant in the Abbott-AbbVie MEPP becomes employed by the Abbott Group or the AbbVie Group on or after the Distribution Date in a position that is eligible for pension plan participation, any additional pension accruals shall occur under the Abbott ARP or the AbbVie Pension Plan, as applicable.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Stock Retirement/Savings Plan</w:t>
      </w:r>
      <w:r>
        <w:rPr>
          <w:rFonts w:ascii="Arial" w:cs="Arial" w:eastAsia="Arial" w:hAnsi="Arial"/>
          <w:sz w:val="17"/>
          <w:szCs w:val="17"/>
          <w:color w:val="auto"/>
        </w:rPr>
        <w:t>.</w:t>
      </w:r>
    </w:p>
    <w:p>
      <w:pPr>
        <w:spacing w:after="0" w:line="224" w:lineRule="exact"/>
        <w:rPr>
          <w:sz w:val="20"/>
          <w:szCs w:val="20"/>
          <w:color w:val="auto"/>
        </w:rPr>
      </w:pPr>
    </w:p>
    <w:p>
      <w:pPr>
        <w:ind w:right="80" w:firstLine="1263"/>
        <w:spacing w:after="0" w:line="262" w:lineRule="auto"/>
        <w:tabs>
          <w:tab w:leader="none" w:pos="1898"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Establishment of AbbVie Savings Plan</w:t>
      </w:r>
      <w:r>
        <w:rPr>
          <w:rFonts w:ascii="Arial" w:cs="Arial" w:eastAsia="Arial" w:hAnsi="Arial"/>
          <w:sz w:val="17"/>
          <w:szCs w:val="17"/>
          <w:color w:val="auto"/>
        </w:rPr>
        <w:t>. Effective as of or before the Distribution Date, AbbVie shall establish the AbbVie Savings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Plan. As of the Distribution Date, the terms of the AbbVie Savings Plan shall be substantially similar to the terms of the Abbott SRP as of the Distribution Date (except as described in </w:t>
      </w:r>
      <w:r>
        <w:rPr>
          <w:rFonts w:ascii="Arial" w:cs="Arial" w:eastAsia="Arial" w:hAnsi="Arial"/>
          <w:sz w:val="17"/>
          <w:szCs w:val="17"/>
          <w:u w:val="single" w:color="auto"/>
          <w:color w:val="auto"/>
        </w:rPr>
        <w:t>Section 3.03(f)</w:t>
      </w:r>
      <w:r>
        <w:rPr>
          <w:rFonts w:ascii="Arial" w:cs="Arial" w:eastAsia="Arial" w:hAnsi="Arial"/>
          <w:sz w:val="17"/>
          <w:szCs w:val="17"/>
          <w:color w:val="auto"/>
        </w:rPr>
        <w:t xml:space="preserve">). On or prior to the Distribution Date, AbbVie shall provide Abbott with (i) a copy of the AbbVie Savings Plan; (ii) a copy of certified resolutions of the AbbVie Board (or its authorized committee or other delegate) evidencing adoption of the AbbVie Savings Plan and the related trust(s) and the assumption by the AbbVie Savings Plan of the Liabilities described in </w:t>
      </w:r>
      <w:r>
        <w:rPr>
          <w:rFonts w:ascii="Arial" w:cs="Arial" w:eastAsia="Arial" w:hAnsi="Arial"/>
          <w:sz w:val="17"/>
          <w:szCs w:val="17"/>
          <w:u w:val="single" w:color="auto"/>
          <w:color w:val="auto"/>
        </w:rPr>
        <w:t>Section 3.03(b)</w:t>
      </w:r>
      <w:r>
        <w:rPr>
          <w:rFonts w:ascii="Arial" w:cs="Arial" w:eastAsia="Arial" w:hAnsi="Arial"/>
          <w:sz w:val="17"/>
          <w:szCs w:val="17"/>
          <w:color w:val="auto"/>
        </w:rPr>
        <w:t>; and (iii) either (A) a favorable determination letter issued by the Internal Revenue Service with respect to the AbbVie Savings Plan and its related trust or (B) an opinion of counsel, which counsel and opinion are reasonably satisfactory to Abbott, with respect to the qualified status of the AbbVie Savings Plan under Code Section 401(a) and the tax-exempt status of its related trust under Code Section 501(a).</w:t>
      </w:r>
    </w:p>
    <w:p>
      <w:pPr>
        <w:spacing w:after="0" w:line="180" w:lineRule="exact"/>
        <w:rPr>
          <w:rFonts w:ascii="Arial" w:cs="Arial" w:eastAsia="Arial" w:hAnsi="Arial"/>
          <w:sz w:val="17"/>
          <w:szCs w:val="17"/>
          <w:color w:val="auto"/>
        </w:rPr>
      </w:pPr>
    </w:p>
    <w:p>
      <w:pPr>
        <w:ind w:right="20" w:firstLine="1263"/>
        <w:spacing w:after="0" w:line="303" w:lineRule="auto"/>
        <w:tabs>
          <w:tab w:leader="none" w:pos="1895" w:val="left"/>
        </w:tabs>
        <w:numPr>
          <w:ilvl w:val="0"/>
          <w:numId w:val="131"/>
        </w:numPr>
        <w:rPr>
          <w:rFonts w:ascii="Arial" w:cs="Arial" w:eastAsia="Arial" w:hAnsi="Arial"/>
          <w:sz w:val="15"/>
          <w:szCs w:val="15"/>
          <w:color w:val="auto"/>
        </w:rPr>
      </w:pPr>
      <w:r>
        <w:rPr>
          <w:rFonts w:ascii="Arial" w:cs="Arial" w:eastAsia="Arial" w:hAnsi="Arial"/>
          <w:sz w:val="15"/>
          <w:szCs w:val="15"/>
          <w:i w:val="1"/>
          <w:iCs w:val="1"/>
          <w:color w:val="auto"/>
        </w:rPr>
        <w:t>Transfer of Account Balances</w:t>
      </w:r>
      <w:r>
        <w:rPr>
          <w:rFonts w:ascii="Arial" w:cs="Arial" w:eastAsia="Arial" w:hAnsi="Arial"/>
          <w:sz w:val="15"/>
          <w:szCs w:val="15"/>
          <w:color w:val="auto"/>
        </w:rPr>
        <w:t>. As soon as practicable after the Distribution Date, Abbott shall cause the trustee of the Abbott SRP to</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from the trust(s) which forms a part of the Abbott SRP to the trust(s) which forms a part of the AbbVie Savings Plan amounts equal to the account balances of the Transferred Employees and the AbbVie LTD Participants (including account balances in respect of beneficiaries and alternate payees established in relation to such individuals) under the Abbott SRP, determined as of the date of the transfer. Such transfers shall be made in cash, Abbott Common Shares, shares of AbbVie Common Stock, promissory notes evidencing outstanding loans and other Assets or any combination thereof in cash or in kind, as instructed by the Abbott SRP Investment Committee. AbbVie shall cause the transferred amounts to be allocated among the Transferred Employees’ and AbbVie LTD Participants’ (and beneficiaries’ and/or alternate payees’, as applicable) AbbVie Savings Plan accounts and to such investment funds in the same manner in which those</w:t>
      </w:r>
    </w:p>
    <w:p>
      <w:pPr>
        <w:sectPr>
          <w:pgSz w:w="11900" w:h="16838" w:orient="portrait"/>
          <w:cols w:equalWidth="0" w:num="1">
            <w:col w:w="11420"/>
          </w:cols>
          <w:pgMar w:left="240" w:top="127" w:right="239" w:bottom="0" w:gutter="0" w:footer="0" w:header="0"/>
        </w:sectPr>
      </w:pPr>
    </w:p>
    <w:bookmarkStart w:id="54" w:name="page55"/>
    <w:bookmarkEnd w:id="54"/>
    <w:p>
      <w:pPr>
        <w:spacing w:after="0" w:line="8"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 xml:space="preserve">amounts were allocated under the Abbott SRP. Any Asset and Liability transfers pursuant to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shall comply in all respects with Code Sections 414(l) and 411(d)(6).</w:t>
      </w:r>
    </w:p>
    <w:p>
      <w:pPr>
        <w:spacing w:after="0" w:line="158" w:lineRule="exact"/>
        <w:rPr>
          <w:sz w:val="20"/>
          <w:szCs w:val="20"/>
          <w:color w:val="auto"/>
        </w:rPr>
      </w:pPr>
    </w:p>
    <w:p>
      <w:pPr>
        <w:ind w:left="1900" w:hanging="637"/>
        <w:spacing w:after="0"/>
        <w:tabs>
          <w:tab w:leader="none" w:pos="190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AbbVie Savings Plan Provisions</w:t>
      </w:r>
      <w:r>
        <w:rPr>
          <w:rFonts w:ascii="Arial" w:cs="Arial" w:eastAsia="Arial" w:hAnsi="Arial"/>
          <w:sz w:val="17"/>
          <w:szCs w:val="17"/>
          <w:color w:val="auto"/>
        </w:rPr>
        <w:t>. The AbbVie Savings Plan shall provide that:</w:t>
      </w:r>
    </w:p>
    <w:p>
      <w:pPr>
        <w:spacing w:after="0" w:line="224" w:lineRule="exact"/>
        <w:rPr>
          <w:rFonts w:ascii="Arial" w:cs="Arial" w:eastAsia="Arial" w:hAnsi="Arial"/>
          <w:sz w:val="17"/>
          <w:szCs w:val="17"/>
          <w:color w:val="auto"/>
        </w:rPr>
      </w:pPr>
    </w:p>
    <w:p>
      <w:pPr>
        <w:ind w:left="640" w:right="120" w:firstLine="1253"/>
        <w:spacing w:after="0" w:line="268" w:lineRule="auto"/>
        <w:tabs>
          <w:tab w:leader="none" w:pos="254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Transferred Employees and AbbVie LTD Participants shall (A) be eligible to participate in the AbbVie Savings Plan as of the applicable Transfer Date to the extent they were eligible to participate in the Abbott SRP as of the applicable Transfer Date, and (B) receive credit for vesting purposes for all service credited for that purpose under the Abbott SRP as of the applicable Transfer Date as if that service had been rendered to AbbVie;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80" w:firstLine="1253"/>
        <w:spacing w:after="0" w:line="273" w:lineRule="auto"/>
        <w:tabs>
          <w:tab w:leader="none" w:pos="255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account balance of each Transferred Employee and AbbVie LTD Participant under the Abbott SRP as of the date of the transfer of Assets from the Abbott SRP (including any outstanding promissory notes) shall be credited to such individual’s account balance under the AbbVie Savings Plan.</w:t>
      </w:r>
    </w:p>
    <w:p>
      <w:pPr>
        <w:spacing w:after="0" w:line="171" w:lineRule="exact"/>
        <w:rPr>
          <w:rFonts w:ascii="Arial" w:cs="Arial" w:eastAsia="Arial" w:hAnsi="Arial"/>
          <w:sz w:val="17"/>
          <w:szCs w:val="17"/>
          <w:color w:val="auto"/>
        </w:rPr>
      </w:pPr>
    </w:p>
    <w:p>
      <w:pPr>
        <w:ind w:right="60" w:firstLine="1263"/>
        <w:spacing w:after="0" w:line="290" w:lineRule="auto"/>
        <w:tabs>
          <w:tab w:leader="none" w:pos="1895"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Determination Letter Request</w:t>
      </w:r>
      <w:r>
        <w:rPr>
          <w:rFonts w:ascii="Arial" w:cs="Arial" w:eastAsia="Arial" w:hAnsi="Arial"/>
          <w:sz w:val="16"/>
          <w:szCs w:val="16"/>
          <w:color w:val="auto"/>
        </w:rPr>
        <w:t>. AbbVie shall submit an application to the Internal Revenue Service as soon as practicable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Date (but no later than the last day of the remedial amendment period as defined in applicable Code provisions) for a determination regarding the qualification of the AbbVie Savings Plan and the tax-exempt status of its related trust as of the Distribution Date and shall make any amendments reasonably requested by the Internal Revenue Service to receive a favorable determination letter regarding the AbbVie Savings Plan.</w:t>
      </w:r>
    </w:p>
    <w:p>
      <w:pPr>
        <w:spacing w:after="0" w:line="159" w:lineRule="exact"/>
        <w:rPr>
          <w:rFonts w:ascii="Arial" w:cs="Arial" w:eastAsia="Arial" w:hAnsi="Arial"/>
          <w:sz w:val="16"/>
          <w:szCs w:val="16"/>
          <w:color w:val="auto"/>
        </w:rPr>
      </w:pPr>
    </w:p>
    <w:p>
      <w:pPr>
        <w:ind w:right="220" w:firstLine="1263"/>
        <w:spacing w:after="0" w:line="290" w:lineRule="auto"/>
        <w:tabs>
          <w:tab w:leader="none" w:pos="1898"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Abbott SRP after Distribution Date</w:t>
      </w:r>
      <w:r>
        <w:rPr>
          <w:rFonts w:ascii="Arial" w:cs="Arial" w:eastAsia="Arial" w:hAnsi="Arial"/>
          <w:sz w:val="16"/>
          <w:szCs w:val="16"/>
          <w:color w:val="auto"/>
        </w:rPr>
        <w:t>. From and after the Distribution Date, (i) the Abbott SRP shall continue to be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respect of Abbott Retained Employees and Former Employees (other than AbbVie LTD Participants), and (ii) no Employees of the AbbVie Group (other than Post-Distribution AbbVie Employees), shall accrue any benefits under the Abbott SRP. Without limiting the generality of the foregoing, Transferred Employees and AbbVie LTD Participants shall cease to be active participants in the Abbott SRP effective as of the applicable Transfer Date.</w:t>
      </w:r>
    </w:p>
    <w:p>
      <w:pPr>
        <w:spacing w:after="0" w:line="159" w:lineRule="exact"/>
        <w:rPr>
          <w:rFonts w:ascii="Arial" w:cs="Arial" w:eastAsia="Arial" w:hAnsi="Arial"/>
          <w:sz w:val="16"/>
          <w:szCs w:val="16"/>
          <w:color w:val="auto"/>
        </w:rPr>
      </w:pPr>
    </w:p>
    <w:p>
      <w:pPr>
        <w:ind w:right="160" w:firstLine="1263"/>
        <w:spacing w:after="0" w:line="268" w:lineRule="auto"/>
        <w:tabs>
          <w:tab w:leader="none" w:pos="1905"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Plan Fiduciaries and Stock Considerations</w:t>
      </w:r>
      <w:r>
        <w:rPr>
          <w:rFonts w:ascii="Arial" w:cs="Arial" w:eastAsia="Arial" w:hAnsi="Arial"/>
          <w:sz w:val="17"/>
          <w:szCs w:val="17"/>
          <w:color w:val="auto"/>
        </w:rPr>
        <w:t>. For all periods after the Distribution Date, the Parties agree that the applicable fiduciaries</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of the Abbott SRP and the AbbVie Savings Plan, respectively, shall have the authority with respect to the Abbott SRP and the AbbVie Savings Plan, respectively, to determine the investment alternatives, the terms and conditions with respect to those investment alternatives and such other matters as are within the scope of their duties under ERISA Section 404.</w:t>
      </w:r>
    </w:p>
    <w:p>
      <w:pPr>
        <w:spacing w:after="0" w:line="175" w:lineRule="exact"/>
        <w:rPr>
          <w:rFonts w:ascii="Arial" w:cs="Arial" w:eastAsia="Arial" w:hAnsi="Arial"/>
          <w:sz w:val="17"/>
          <w:szCs w:val="17"/>
          <w:color w:val="auto"/>
        </w:rPr>
      </w:pPr>
    </w:p>
    <w:p>
      <w:pPr>
        <w:jc w:val="both"/>
        <w:ind w:firstLine="1263"/>
        <w:spacing w:after="0" w:line="273" w:lineRule="auto"/>
        <w:tabs>
          <w:tab w:leader="none" w:pos="1895"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No Loss of Unvested Benefits; No Distributions</w:t>
      </w:r>
      <w:r>
        <w:rPr>
          <w:rFonts w:ascii="Arial" w:cs="Arial" w:eastAsia="Arial" w:hAnsi="Arial"/>
          <w:sz w:val="17"/>
          <w:szCs w:val="17"/>
          <w:color w:val="auto"/>
        </w:rPr>
        <w:t>. The transfer of any Transferred Employee’s employment to the AbbVie Group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loss of that Transferred Employee’s unvested benefits under the Abbott SRP or the AbbVie Savings Plan and no Transferred Employee shall be entitled to a distribution of his or her benefit under the Abbott SRP as a result of such transfer of employment.</w:t>
      </w:r>
    </w:p>
    <w:p>
      <w:pPr>
        <w:spacing w:after="0" w:line="171" w:lineRule="exact"/>
        <w:rPr>
          <w:rFonts w:ascii="Arial" w:cs="Arial" w:eastAsia="Arial" w:hAnsi="Arial"/>
          <w:sz w:val="17"/>
          <w:szCs w:val="17"/>
          <w:color w:val="auto"/>
        </w:rPr>
      </w:pPr>
    </w:p>
    <w:p>
      <w:pPr>
        <w:ind w:right="260" w:firstLine="1263"/>
        <w:spacing w:after="0" w:line="263" w:lineRule="auto"/>
        <w:tabs>
          <w:tab w:leader="none" w:pos="1895"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Subsequent Transfers</w:t>
      </w:r>
      <w:r>
        <w:rPr>
          <w:rFonts w:ascii="Arial" w:cs="Arial" w:eastAsia="Arial" w:hAnsi="Arial"/>
          <w:sz w:val="17"/>
          <w:szCs w:val="17"/>
          <w:color w:val="auto"/>
        </w:rPr>
        <w:t>. If, after the Distribution Date, a participant in the Abbott SRP becomes employed by the AbbVie Group 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in the AbbVie Savings Plan becomes employed by the Abbott Group, any additional allocations shall occur under the Abbott SRP or the AbbVie Savings Plan, as applicable. If such participant’s employment by the Abbott Group or the AbbVie Group commences during the Transition Period, the Abbott SRP or the AbbVie Savings Plan, as applicable, shall permit the applicable participant to roll over a distribution of such participant’s account (including any outstanding loans) from the AbbVie Savings Plan or the Abbott SRP, as applicable, all in accordance with the terms of the Abbott SRP and the AbbVie Savings Plan, as applicable.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Pension Plan for Former BASF and Former Solvay Employees</w:t>
      </w:r>
      <w:r>
        <w:rPr>
          <w:rFonts w:ascii="Arial" w:cs="Arial" w:eastAsia="Arial" w:hAnsi="Arial"/>
          <w:sz w:val="17"/>
          <w:szCs w:val="17"/>
          <w:color w:val="auto"/>
        </w:rPr>
        <w:t>.</w:t>
      </w:r>
    </w:p>
    <w:p>
      <w:pPr>
        <w:spacing w:after="0" w:line="224" w:lineRule="exact"/>
        <w:rPr>
          <w:sz w:val="20"/>
          <w:szCs w:val="20"/>
          <w:color w:val="auto"/>
        </w:rPr>
      </w:pPr>
    </w:p>
    <w:p>
      <w:pPr>
        <w:ind w:left="1900" w:hanging="637"/>
        <w:spacing w:after="0"/>
        <w:tabs>
          <w:tab w:leader="none" w:pos="1900"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Transfer of Plan Sponsorship to AbbVie</w:t>
      </w:r>
      <w:r>
        <w:rPr>
          <w:rFonts w:ascii="Arial" w:cs="Arial" w:eastAsia="Arial" w:hAnsi="Arial"/>
          <w:sz w:val="16"/>
          <w:szCs w:val="16"/>
          <w:color w:val="auto"/>
        </w:rPr>
        <w:t>. As of the Distribution Date, AbbVie shall assume sponsorship of the Pension Plan for Former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BASF and Former Solvay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Employees. The plan and the related trust agreement shall be amended, effective as of the Distribution Date, to reflect such sponsorship and to make other changes to effectuate the sponsorship change. From and after the Distribution Date, the Pension Plan for Former BASF and Former Solvay Employees shall be responsible for Liabilities in respect of Transferred Employees and Former Employees (other than Abbott LTD Participants).</w:t>
      </w:r>
    </w:p>
    <w:p>
      <w:pPr>
        <w:spacing w:after="0" w:line="154" w:lineRule="exact"/>
        <w:rPr>
          <w:sz w:val="20"/>
          <w:szCs w:val="20"/>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Abbott Retention of Assets and Liabilities for Benefits Due to Abbott Retained Employees and Abbott LTD Participants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62" w:lineRule="auto"/>
        <w:tabs>
          <w:tab w:leader="none" w:pos="254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As described in </w:t>
      </w:r>
      <w:r>
        <w:rPr>
          <w:rFonts w:ascii="Arial" w:cs="Arial" w:eastAsia="Arial" w:hAnsi="Arial"/>
          <w:sz w:val="17"/>
          <w:szCs w:val="17"/>
          <w:u w:val="single" w:color="auto"/>
          <w:color w:val="auto"/>
        </w:rPr>
        <w:t>Section 3.04(b)(ii)</w:t>
      </w:r>
      <w:r>
        <w:rPr>
          <w:rFonts w:ascii="Arial" w:cs="Arial" w:eastAsia="Arial" w:hAnsi="Arial"/>
          <w:sz w:val="17"/>
          <w:szCs w:val="17"/>
          <w:color w:val="auto"/>
        </w:rPr>
        <w:t>, Abbott shall retain all Assets and Liabilities relating to, arising out of, or resulting from the Pension Plan for Former BASF and Former Solvay Employees with respect to Abbott Retained Employees and Abbott LTD Participants and their beneficiaries and/or alternate payees. Effective as of or before the Distribution Date, Abbott shall amend the Abbott ARP to incorporate the provisions necessary to document and provide for such benefits due to the affected Abbott Retained Employees and Abbott LTD Participants. From and after the Distribution Date (or, if later, the date on which the Assets and Liabilities attributable to benefits for the Abbott Retained Employees and Abbott LTD Participants are transferred to the Abbott ARP), no Employees of the Abbott Group shall participate in or accrue any benefits under the Pension Plan for Former BASF and Former Solvay Employees.</w:t>
      </w:r>
    </w:p>
    <w:p>
      <w:pPr>
        <w:spacing w:after="0" w:line="184" w:lineRule="exact"/>
        <w:rPr>
          <w:rFonts w:ascii="Arial" w:cs="Arial" w:eastAsia="Arial" w:hAnsi="Arial"/>
          <w:sz w:val="17"/>
          <w:szCs w:val="17"/>
          <w:color w:val="auto"/>
        </w:rPr>
      </w:pPr>
    </w:p>
    <w:p>
      <w:pPr>
        <w:ind w:left="640" w:right="120" w:firstLine="1253"/>
        <w:spacing w:after="0" w:line="295" w:lineRule="auto"/>
        <w:tabs>
          <w:tab w:leader="none" w:pos="2558" w:val="left"/>
        </w:tabs>
        <w:numPr>
          <w:ilvl w:val="1"/>
          <w:numId w:val="136"/>
        </w:numPr>
        <w:rPr>
          <w:rFonts w:ascii="Arial" w:cs="Arial" w:eastAsia="Arial" w:hAnsi="Arial"/>
          <w:sz w:val="15"/>
          <w:szCs w:val="15"/>
          <w:color w:val="auto"/>
        </w:rPr>
      </w:pPr>
      <w:r>
        <w:rPr>
          <w:rFonts w:ascii="Arial" w:cs="Arial" w:eastAsia="Arial" w:hAnsi="Arial"/>
          <w:sz w:val="15"/>
          <w:szCs w:val="15"/>
          <w:color w:val="auto"/>
        </w:rPr>
        <w:t>As of the Distribution Date, Abbott shall cause the Abbott ARP to accept Assets and assume all Liabilities under the Pension Plan for Former BASF and Former Solvay Employees for Abbott Retained Employees and Abbott LTD Participants (including Assets and Liabilities in respect of beneficiaries and/or alternate payees) and the Pension Plan for Former BASF and Former Solvay Employees shall transfer all such Assets and be relieved of such Liabilities. The amount of Assets to be transferred from the Pension Plan for Former BASF and Former Solvay Employees to the Abbott ARP in such transfer (or transfers) shall be determined as of the Distribution Date in accordance with, and shall comply with, Code</w:t>
      </w:r>
    </w:p>
    <w:p>
      <w:pPr>
        <w:ind w:left="640" w:right="40"/>
        <w:spacing w:after="0" w:line="300" w:lineRule="auto"/>
        <w:rPr>
          <w:rFonts w:ascii="Arial" w:cs="Arial" w:eastAsia="Arial" w:hAnsi="Arial"/>
          <w:sz w:val="15"/>
          <w:szCs w:val="15"/>
          <w:color w:val="auto"/>
        </w:rPr>
      </w:pPr>
      <w:r>
        <w:rPr>
          <w:rFonts w:ascii="Arial" w:cs="Arial" w:eastAsia="Arial" w:hAnsi="Arial"/>
          <w:sz w:val="15"/>
          <w:szCs w:val="15"/>
          <w:color w:val="auto"/>
        </w:rPr>
        <w:t>Section 414(l) and, to the extent deemed applicable by the Parties, ERISA Section 4044. Assumptions used to determine the value of the Assets to be transferred shall be the safe harbor assumptions specified for valuing benefits in trusteed plans under Department of Labor Regulations Section 4044.51-57 and, to the extent not so specified, shall be based on the assumptions used in the annual valuation report most recently prepared prior to the transfer by the actuary for the Pension Plan for Former BASF and Former Solvay Employees. The transfer amount described above shall be credited or debited, as applicable, with a pro rata share of the actual investment earnings or losses allocable to the transfer amount for the period between the Distribution Date and an assessment date set by Abbott that is as close as practicable, taking into account the timing and valuation of assets in the Abbott Trust, to the date upon which Assets equal in value to the transfer amount are actually transferred from the Pension Plan for Former BASF and Former Solvay Employees</w:t>
      </w:r>
    </w:p>
    <w:p>
      <w:pPr>
        <w:sectPr>
          <w:pgSz w:w="11900" w:h="16846" w:orient="portrait"/>
          <w:cols w:equalWidth="0" w:num="1">
            <w:col w:w="11420"/>
          </w:cols>
          <w:pgMar w:left="240" w:top="127" w:right="239" w:bottom="0" w:gutter="0" w:footer="0" w:header="0"/>
        </w:sectPr>
      </w:pPr>
    </w:p>
    <w:bookmarkStart w:id="55" w:name="page56"/>
    <w:bookmarkEnd w:id="55"/>
    <w:p>
      <w:pPr>
        <w:ind w:left="640" w:right="20"/>
        <w:spacing w:after="0" w:line="268" w:lineRule="auto"/>
        <w:rPr>
          <w:sz w:val="20"/>
          <w:szCs w:val="20"/>
          <w:color w:val="auto"/>
        </w:rPr>
      </w:pPr>
      <w:r>
        <w:rPr>
          <w:rFonts w:ascii="Arial" w:cs="Arial" w:eastAsia="Arial" w:hAnsi="Arial"/>
          <w:sz w:val="17"/>
          <w:szCs w:val="17"/>
          <w:color w:val="auto"/>
        </w:rPr>
        <w:t>to the Abbott ARP. During the time prior to such transfer, benefits for Abbott Retained Employees who terminate employment with the Abbott Group and for Abbott LTD Participants shall be paid from the Pension Plan for Former BASF and Former Solvay Employees. The ultimate transfer amount shall be reduced by the amount of these benefits and credited or debited by the actual investment earnings or losses from the payment date to the assessment date set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8" w:lineRule="auto"/>
        <w:rPr>
          <w:sz w:val="20"/>
          <w:szCs w:val="20"/>
          <w:color w:val="auto"/>
        </w:rPr>
      </w:pPr>
      <w:r>
        <w:rPr>
          <w:rFonts w:ascii="Arial" w:cs="Arial" w:eastAsia="Arial" w:hAnsi="Arial"/>
          <w:sz w:val="17"/>
          <w:szCs w:val="17"/>
          <w:color w:val="auto"/>
        </w:rPr>
        <w:t>Abbott above. In addition, during this period, Abbott will be responsible for a pro rata share of trustee and administration fees attributable to the Pension Plan for Former BASF and Former Solvay Employees assets that remain in the Abbott ARP. The entries in the Abbott ARP funding standard account shall be divided among the Abbott ARP and the Pension Plan for Former BASF and Former Solvay Employees based on the guidance provided in Revenue Ruling 81-212 and 86-47.</w:t>
      </w:r>
    </w:p>
    <w:p>
      <w:pPr>
        <w:spacing w:after="0" w:line="176" w:lineRule="exact"/>
        <w:rPr>
          <w:sz w:val="20"/>
          <w:szCs w:val="20"/>
          <w:color w:val="auto"/>
        </w:rPr>
      </w:pPr>
    </w:p>
    <w:p>
      <w:pPr>
        <w:ind w:left="640" w:firstLine="1253"/>
        <w:spacing w:after="0" w:line="279" w:lineRule="auto"/>
        <w:tabs>
          <w:tab w:leader="none" w:pos="256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Periodically, at such times as agreed upon by the Parties after the transfer(s) described in </w:t>
      </w:r>
      <w:r>
        <w:rPr>
          <w:rFonts w:ascii="Arial" w:cs="Arial" w:eastAsia="Arial" w:hAnsi="Arial"/>
          <w:sz w:val="16"/>
          <w:szCs w:val="16"/>
          <w:u w:val="single" w:color="auto"/>
          <w:color w:val="auto"/>
        </w:rPr>
        <w:t>Section 3.04(b)(ii)</w:t>
      </w:r>
      <w:r>
        <w:rPr>
          <w:rFonts w:ascii="Arial" w:cs="Arial" w:eastAsia="Arial" w:hAnsi="Arial"/>
          <w:sz w:val="16"/>
          <w:szCs w:val="16"/>
          <w:color w:val="auto"/>
        </w:rPr>
        <w:t xml:space="preserve">, (A) AbbVie shall cause the Pension Plan for Former BASF and Former Solvay Employees to receive Assets and assume all Liabilities under the Abbott ARP for any Abbott Retained Employees (and their beneficiaries and alternate payees) on whose behalf a transfer was made under </w:t>
      </w:r>
      <w:r>
        <w:rPr>
          <w:rFonts w:ascii="Arial" w:cs="Arial" w:eastAsia="Arial" w:hAnsi="Arial"/>
          <w:sz w:val="16"/>
          <w:szCs w:val="16"/>
          <w:u w:val="single" w:color="auto"/>
          <w:color w:val="auto"/>
        </w:rPr>
        <w:t>Section 3.04(b)(ii)</w:t>
      </w:r>
      <w:r>
        <w:rPr>
          <w:rFonts w:ascii="Arial" w:cs="Arial" w:eastAsia="Arial" w:hAnsi="Arial"/>
          <w:sz w:val="16"/>
          <w:szCs w:val="16"/>
          <w:color w:val="auto"/>
        </w:rPr>
        <w:t xml:space="preserve"> who cease to be employed by Abbott after the Distribution Date and become employed by AbbVie during the Transition Period (including Assets and Liabilities in respect of beneficiaries and/or alternate payees) and the Abbott ARP shall transfer all such Assets and be relieved of such Liabilities, and (B) Abbott shall cause the Abbott ARP to receive Assets and assume all Liabilities under the Pension Plan for Former BASF and Former Solvay Employees for any Employees who cease to be employed by AbbVie after the Distribution Date and become employed by Abbott during the Transition Period (including Assets and Liabilities in respect of beneficiaries and/or alternate payees) and the Pension Plan for Former BASF and Former Solvay Employees shall transfer all such Assets and be relieved of such Liabilities. The amount of Assets to be transferred shall be determined as provided in </w:t>
      </w:r>
      <w:r>
        <w:rPr>
          <w:rFonts w:ascii="Arial" w:cs="Arial" w:eastAsia="Arial" w:hAnsi="Arial"/>
          <w:sz w:val="16"/>
          <w:szCs w:val="16"/>
          <w:u w:val="single" w:color="auto"/>
          <w:color w:val="auto"/>
        </w:rPr>
        <w:t>Section 3.04(b)(ii)</w:t>
      </w:r>
      <w:r>
        <w:rPr>
          <w:rFonts w:ascii="Arial" w:cs="Arial" w:eastAsia="Arial" w:hAnsi="Arial"/>
          <w:sz w:val="16"/>
          <w:szCs w:val="16"/>
          <w:color w:val="auto"/>
        </w:rPr>
        <w:t xml:space="preserve"> and shall be subject to the applicable provisions of </w:t>
      </w:r>
      <w:r>
        <w:rPr>
          <w:rFonts w:ascii="Arial" w:cs="Arial" w:eastAsia="Arial" w:hAnsi="Arial"/>
          <w:sz w:val="16"/>
          <w:szCs w:val="16"/>
          <w:u w:val="single" w:color="auto"/>
          <w:color w:val="auto"/>
        </w:rPr>
        <w:t>Section 3.04(b)(ii)</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1263"/>
        <w:spacing w:after="0" w:line="279" w:lineRule="auto"/>
        <w:tabs>
          <w:tab w:leader="none" w:pos="189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Plan Fiduciaries</w:t>
      </w:r>
      <w:r>
        <w:rPr>
          <w:rFonts w:ascii="Arial" w:cs="Arial" w:eastAsia="Arial" w:hAnsi="Arial"/>
          <w:sz w:val="16"/>
          <w:szCs w:val="16"/>
          <w:color w:val="auto"/>
        </w:rPr>
        <w:t>. For all periods after the Distribution Date, the Parties agree that the applicable fiduciaries of each of the Pension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Former BASF and Former Solvay Employees and the Abbott ARP, respectively, shall have the authority with respect to the Pension Plan for Former BASF and Former Solvay Employees and the Abbott ARP, respectively, to determine the plan investments and such other matters as are within the scope of their duties under ERISA Section 404. Unless and until the applicable fiduciaries of the Pension Plan for Former BASF and Former Solvay Employees determine that it is desired to invest the Assets of the Pension Plan for Former BASF and Former Solvay Employees in a separate trust, the Assets of the Pension Plan for Former BASF and Former Solvay Employees shall be invested through the Abbott Trust. At such time as the applicable fiduciaries of the Pension Plan for Former BASF and Former Solvay Employees determine that it is desired to invest the Assets of the Pension Plan for Former BASF and Former Solvay Employees in a separate trust, Abbott shall direct the trustee of the Abbott Trust to transfer from the Abbott Trust to the trust(s) which forms a part of the Pension Plan for Former BASF and Former Solvay Employees Assets equal in value to the Assets of Pension Plan for Former BASF and Former Solvay Employees, with the composition of such assets to be mutually determined by the applicable fiduciaries of the Pension Plan for Former BASF and Former Solvay Employees and the Abbott Trust.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Supplemental Pension Plan</w:t>
      </w:r>
    </w:p>
    <w:p>
      <w:pPr>
        <w:spacing w:after="0" w:line="224" w:lineRule="exact"/>
        <w:rPr>
          <w:sz w:val="20"/>
          <w:szCs w:val="20"/>
          <w:color w:val="auto"/>
        </w:rPr>
      </w:pPr>
    </w:p>
    <w:p>
      <w:pPr>
        <w:ind w:right="240" w:firstLine="1263"/>
        <w:spacing w:after="0" w:line="289" w:lineRule="auto"/>
        <w:tabs>
          <w:tab w:leader="none" w:pos="1898"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Establishment of AbbVie SERP</w:t>
      </w:r>
      <w:r>
        <w:rPr>
          <w:rFonts w:ascii="Arial" w:cs="Arial" w:eastAsia="Arial" w:hAnsi="Arial"/>
          <w:sz w:val="17"/>
          <w:szCs w:val="17"/>
          <w:color w:val="auto"/>
        </w:rPr>
        <w:t>. Effective as of or before the Distribution Date, AbbVie shall establish the AbbVie SERP,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funding arrangements substantially similar to those of the Abbott SERP as of the Distribution Date.</w:t>
      </w:r>
    </w:p>
    <w:p>
      <w:pPr>
        <w:spacing w:after="0" w:line="158" w:lineRule="exact"/>
        <w:rPr>
          <w:rFonts w:ascii="Arial" w:cs="Arial" w:eastAsia="Arial" w:hAnsi="Arial"/>
          <w:sz w:val="17"/>
          <w:szCs w:val="17"/>
          <w:color w:val="auto"/>
        </w:rPr>
      </w:pPr>
    </w:p>
    <w:p>
      <w:pPr>
        <w:ind w:firstLine="1263"/>
        <w:spacing w:after="0" w:line="262" w:lineRule="auto"/>
        <w:tabs>
          <w:tab w:leader="none" w:pos="1895"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Assumption of SERP Liabilities and Transfer from Abbott SERP</w:t>
      </w:r>
      <w:r>
        <w:rPr>
          <w:rFonts w:ascii="Arial" w:cs="Arial" w:eastAsia="Arial" w:hAnsi="Arial"/>
          <w:sz w:val="17"/>
          <w:szCs w:val="17"/>
          <w:color w:val="auto"/>
        </w:rPr>
        <w:t>. Except as provided below, as of a Transferred Employee’s or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AbbVie LTD Participant’s Transfer Date, AbbVie shall, and shall cause the AbbVie SERP to, assume all Liabilities for all obligations under the Abbott SERP for the benefits of such individual (and any other individual on whose behalf Liabilities are transferred from the Abbott ARP to the AbbVie Pension Plan under </w:t>
      </w:r>
      <w:r>
        <w:rPr>
          <w:rFonts w:ascii="Arial" w:cs="Arial" w:eastAsia="Arial" w:hAnsi="Arial"/>
          <w:sz w:val="17"/>
          <w:szCs w:val="17"/>
          <w:u w:val="single" w:color="auto"/>
          <w:color w:val="auto"/>
        </w:rPr>
        <w:t>Section 3.01(b)(ii)(A)</w:t>
      </w:r>
      <w:r>
        <w:rPr>
          <w:rFonts w:ascii="Arial" w:cs="Arial" w:eastAsia="Arial" w:hAnsi="Arial"/>
          <w:sz w:val="17"/>
          <w:szCs w:val="17"/>
          <w:color w:val="auto"/>
        </w:rPr>
        <w:t xml:space="preserve">) and his or her beneficiaries and/or alternate payees determined as of the applicable Transfer Date, and Abbott and the Abbott SERP shall be relieved of all Liabilities for those benefits. Abbott shall retain the Liabilities for all obligations under the Abbott SERP for the benefits for Abbott Retained Employees and Former Employees (other than AbbVie LTD Participants) (and any other individual on whose behalf Liabilities are transferred from the AbbVie Pension Plan to the Abbott ARP under </w:t>
      </w:r>
      <w:r>
        <w:rPr>
          <w:rFonts w:ascii="Arial" w:cs="Arial" w:eastAsia="Arial" w:hAnsi="Arial"/>
          <w:sz w:val="17"/>
          <w:szCs w:val="17"/>
          <w:u w:val="single" w:color="auto"/>
          <w:color w:val="auto"/>
        </w:rPr>
        <w:t>Section 3.01(b)(ii)(B)</w:t>
      </w:r>
      <w:r>
        <w:rPr>
          <w:rFonts w:ascii="Arial" w:cs="Arial" w:eastAsia="Arial" w:hAnsi="Arial"/>
          <w:sz w:val="17"/>
          <w:szCs w:val="17"/>
          <w:color w:val="auto"/>
        </w:rPr>
        <w:t>), but shall share with AbbVie the cost of benefits provided to Former Employees (other than LTD Participants) in accordance with procedures mutually agreed to by the Parties.</w:t>
      </w:r>
    </w:p>
    <w:p>
      <w:pPr>
        <w:spacing w:after="0" w:line="180" w:lineRule="exact"/>
        <w:rPr>
          <w:rFonts w:ascii="Arial" w:cs="Arial" w:eastAsia="Arial" w:hAnsi="Arial"/>
          <w:sz w:val="17"/>
          <w:szCs w:val="17"/>
          <w:color w:val="auto"/>
        </w:rPr>
      </w:pPr>
    </w:p>
    <w:p>
      <w:pPr>
        <w:ind w:left="1900" w:hanging="637"/>
        <w:spacing w:after="0"/>
        <w:tabs>
          <w:tab w:leader="none" w:pos="190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AbbVie SERP Provisions</w:t>
      </w:r>
      <w:r>
        <w:rPr>
          <w:rFonts w:ascii="Arial" w:cs="Arial" w:eastAsia="Arial" w:hAnsi="Arial"/>
          <w:sz w:val="17"/>
          <w:szCs w:val="17"/>
          <w:color w:val="auto"/>
        </w:rPr>
        <w:t>. As of the Distribution Date, the AbbVie SERP shall provide that:</w:t>
      </w:r>
    </w:p>
    <w:p>
      <w:pPr>
        <w:spacing w:after="0" w:line="224" w:lineRule="exact"/>
        <w:rPr>
          <w:rFonts w:ascii="Arial" w:cs="Arial" w:eastAsia="Arial" w:hAnsi="Arial"/>
          <w:sz w:val="17"/>
          <w:szCs w:val="17"/>
          <w:color w:val="auto"/>
        </w:rPr>
      </w:pPr>
    </w:p>
    <w:p>
      <w:pPr>
        <w:ind w:left="640" w:firstLine="1253"/>
        <w:spacing w:after="0" w:line="263" w:lineRule="auto"/>
        <w:tabs>
          <w:tab w:leader="none" w:pos="254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Transferred Employees and AbbVie LTD Participants shall (A) be eligible to participate in the AbbVie SERP to the extent they were eligible to participate in the Abbott SERP as of the applicable Transfer Date, and (B) receive credit for vesting, eligibility and benefit service for all service credited for those purposes under the Abbott SERP as of the Transfer Date as if that service had been rendered to AbbVie (provided that in the event that any such Transferred Employee or AbbVie LTD Participant receives a distribution from the Abbott SERP, the value of such distribution shall be offset against future benefits under the AbbVie SERP to the extent necessary to avoid a duplication of benefits, the terms of such offset to be set forth in the AbbVie SERP);</w:t>
      </w:r>
    </w:p>
    <w:p>
      <w:pPr>
        <w:spacing w:after="0" w:line="183" w:lineRule="exact"/>
        <w:rPr>
          <w:rFonts w:ascii="Arial" w:cs="Arial" w:eastAsia="Arial" w:hAnsi="Arial"/>
          <w:sz w:val="17"/>
          <w:szCs w:val="17"/>
          <w:color w:val="auto"/>
        </w:rPr>
      </w:pPr>
    </w:p>
    <w:p>
      <w:pPr>
        <w:ind w:left="640" w:right="140" w:firstLine="1253"/>
        <w:spacing w:after="0" w:line="273" w:lineRule="auto"/>
        <w:tabs>
          <w:tab w:leader="none" w:pos="255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compensation paid by the Abbott Group to a Transferred Employee or to an AbbVie LTD Participant that was recognized under the Abbott SERP as of the Transfer Date shall be credited and recognized for all applicable purposes under the AbbVie SERP as though it were compensation from the AbbVie Group;</w:t>
      </w:r>
    </w:p>
    <w:p>
      <w:pPr>
        <w:spacing w:after="0" w:line="171" w:lineRule="exact"/>
        <w:rPr>
          <w:rFonts w:ascii="Arial" w:cs="Arial" w:eastAsia="Arial" w:hAnsi="Arial"/>
          <w:sz w:val="17"/>
          <w:szCs w:val="17"/>
          <w:color w:val="auto"/>
        </w:rPr>
      </w:pPr>
    </w:p>
    <w:p>
      <w:pPr>
        <w:ind w:left="640" w:right="80" w:firstLine="1253"/>
        <w:spacing w:after="0" w:line="290" w:lineRule="auto"/>
        <w:tabs>
          <w:tab w:leader="none" w:pos="256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accrued benefit of each Transferred Employee and each AbbVie LTD Participant under the Abbott SERP as of the applicable Transfer Date shall be payable under the AbbVie SERP at the time and in a form that would have been permitted under the Abbott SERP as in effect as of such Transfer Date, with employment by the Abbott Group prior to the Transfer Date treated as employment by the AbbVie Group under the AbbVie SERP for purposes of determining eligibility for optional forms of benefit, early retirement benefits, or other benefit forms; and</w:t>
      </w:r>
    </w:p>
    <w:p>
      <w:pPr>
        <w:spacing w:after="0" w:line="159" w:lineRule="exact"/>
        <w:rPr>
          <w:rFonts w:ascii="Arial" w:cs="Arial" w:eastAsia="Arial" w:hAnsi="Arial"/>
          <w:sz w:val="16"/>
          <w:szCs w:val="16"/>
          <w:color w:val="auto"/>
        </w:rPr>
      </w:pPr>
    </w:p>
    <w:p>
      <w:pPr>
        <w:ind w:left="2540" w:hanging="647"/>
        <w:spacing w:after="0"/>
        <w:tabs>
          <w:tab w:leader="none" w:pos="254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 AbbVie SERP shall assume and honor the terms of all arrangements relating to beneficiaries and alternate payees in effect</w:t>
      </w:r>
    </w:p>
    <w:p>
      <w:pPr>
        <w:spacing w:after="0" w:line="49"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and honored under</w:t>
      </w:r>
    </w:p>
    <w:p>
      <w:pPr>
        <w:sectPr>
          <w:pgSz w:w="11900" w:h="16838" w:orient="portrait"/>
          <w:cols w:equalWidth="0" w:num="1">
            <w:col w:w="11420"/>
          </w:cols>
          <w:pgMar w:left="240" w:top="127" w:right="239" w:bottom="10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0" w:gutter="0" w:footer="0" w:header="0"/>
          <w:type w:val="continuous"/>
        </w:sectPr>
      </w:pPr>
    </w:p>
    <w:bookmarkStart w:id="56" w:name="page57"/>
    <w:bookmarkEnd w:id="56"/>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Abbott SERP as of the applicable Transfer Date with respect to Transferred Employees and AbbVie LTD Participants.</w:t>
      </w:r>
    </w:p>
    <w:p>
      <w:pPr>
        <w:spacing w:after="0" w:line="224" w:lineRule="exact"/>
        <w:rPr>
          <w:sz w:val="20"/>
          <w:szCs w:val="20"/>
          <w:color w:val="auto"/>
        </w:rPr>
      </w:pPr>
    </w:p>
    <w:p>
      <w:pPr>
        <w:ind w:right="40" w:firstLine="1263"/>
        <w:spacing w:after="0" w:line="265" w:lineRule="auto"/>
        <w:tabs>
          <w:tab w:leader="none" w:pos="1895"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Abbott SERP after Distribution Date</w:t>
      </w:r>
      <w:r>
        <w:rPr>
          <w:rFonts w:ascii="Arial" w:cs="Arial" w:eastAsia="Arial" w:hAnsi="Arial"/>
          <w:sz w:val="17"/>
          <w:szCs w:val="17"/>
          <w:color w:val="auto"/>
        </w:rPr>
        <w:t>. From and after a Transferred Employee’s or AbbVie LTD Participant’s Transfer Date,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Employee or AbbVie LTD Participant shall not participate in or accrue any benefits under the Abbott SERP. Without limiting the generality of the foregoing, each Transferred Employee and AbbVie LTD Participant shall cease to participate in the Abbott SERP effective as of the applicable Transfer Date. The Abbott SERP shall continue to be responsible for Liabilities in respect of Abbott Retained Employees and Former Employees (other than AbbVie LTD Participants) and their beneficiaries and/or alternate payees.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Deferred Compensation Plan</w:t>
      </w:r>
      <w:r>
        <w:rPr>
          <w:rFonts w:ascii="Arial" w:cs="Arial" w:eastAsia="Arial" w:hAnsi="Arial"/>
          <w:sz w:val="17"/>
          <w:szCs w:val="17"/>
          <w:color w:val="auto"/>
        </w:rPr>
        <w:t>.</w:t>
      </w:r>
    </w:p>
    <w:p>
      <w:pPr>
        <w:spacing w:after="0" w:line="224" w:lineRule="exact"/>
        <w:rPr>
          <w:sz w:val="20"/>
          <w:szCs w:val="20"/>
          <w:color w:val="auto"/>
        </w:rPr>
      </w:pPr>
    </w:p>
    <w:p>
      <w:pPr>
        <w:ind w:right="420" w:firstLine="1263"/>
        <w:spacing w:after="0" w:line="289" w:lineRule="auto"/>
        <w:tabs>
          <w:tab w:leader="none" w:pos="1898" w:val="left"/>
        </w:tabs>
        <w:numPr>
          <w:ilvl w:val="1"/>
          <w:numId w:val="141"/>
        </w:numPr>
        <w:rPr>
          <w:rFonts w:ascii="Arial" w:cs="Arial" w:eastAsia="Arial" w:hAnsi="Arial"/>
          <w:sz w:val="17"/>
          <w:szCs w:val="17"/>
          <w:color w:val="auto"/>
        </w:rPr>
      </w:pPr>
      <w:r>
        <w:rPr>
          <w:rFonts w:ascii="Arial" w:cs="Arial" w:eastAsia="Arial" w:hAnsi="Arial"/>
          <w:sz w:val="17"/>
          <w:szCs w:val="17"/>
          <w:i w:val="1"/>
          <w:iCs w:val="1"/>
          <w:color w:val="auto"/>
        </w:rPr>
        <w:t>Establishment of AbbVie DCP</w:t>
      </w:r>
      <w:r>
        <w:rPr>
          <w:rFonts w:ascii="Arial" w:cs="Arial" w:eastAsia="Arial" w:hAnsi="Arial"/>
          <w:sz w:val="17"/>
          <w:szCs w:val="17"/>
          <w:color w:val="auto"/>
        </w:rPr>
        <w:t>. Effective as of or before the Distribution Date, AbbVie shall establish the AbbVie DCP,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similar to those of the Abbott DCP as of the Distribution Date.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141"/>
        </w:numPr>
        <w:rPr>
          <w:rFonts w:ascii="Arial" w:cs="Arial" w:eastAsia="Arial" w:hAnsi="Arial"/>
          <w:sz w:val="17"/>
          <w:szCs w:val="17"/>
          <w:color w:val="auto"/>
        </w:rPr>
      </w:pPr>
      <w:r>
        <w:rPr>
          <w:rFonts w:ascii="Arial" w:cs="Arial" w:eastAsia="Arial" w:hAnsi="Arial"/>
          <w:sz w:val="17"/>
          <w:szCs w:val="17"/>
          <w:i w:val="1"/>
          <w:iCs w:val="1"/>
          <w:color w:val="auto"/>
        </w:rPr>
        <w:t>Assumption of DCP Liabilities and Transfer from Abbott DCP.</w:t>
      </w:r>
    </w:p>
    <w:p>
      <w:pPr>
        <w:spacing w:after="0" w:line="224" w:lineRule="exact"/>
        <w:rPr>
          <w:rFonts w:ascii="Arial" w:cs="Arial" w:eastAsia="Arial" w:hAnsi="Arial"/>
          <w:sz w:val="17"/>
          <w:szCs w:val="17"/>
          <w:color w:val="auto"/>
        </w:rPr>
      </w:pPr>
    </w:p>
    <w:p>
      <w:pPr>
        <w:ind w:left="640" w:firstLine="1253"/>
        <w:spacing w:after="0" w:line="298" w:lineRule="auto"/>
        <w:tabs>
          <w:tab w:leader="none" w:pos="2548" w:val="left"/>
        </w:tabs>
        <w:numPr>
          <w:ilvl w:val="2"/>
          <w:numId w:val="141"/>
        </w:numPr>
        <w:rPr>
          <w:rFonts w:ascii="Arial" w:cs="Arial" w:eastAsia="Arial" w:hAnsi="Arial"/>
          <w:sz w:val="16"/>
          <w:szCs w:val="16"/>
          <w:color w:val="auto"/>
        </w:rPr>
      </w:pPr>
      <w:r>
        <w:rPr>
          <w:rFonts w:ascii="Arial" w:cs="Arial" w:eastAsia="Arial" w:hAnsi="Arial"/>
          <w:sz w:val="16"/>
          <w:szCs w:val="16"/>
          <w:color w:val="auto"/>
        </w:rPr>
        <w:t>As of a Transferred Employee’s or an AbbVie LTD Participant’s Transfer Date, AbbVie shall, and shall cause the AbbVie DCP to, assume all Liabilities for all obligations under the Abbott DCP for the benefits of such individual and his or her beneficiaries and/or alternate payees, determined as of the applicable Transfer Date, and Abbott and the Abbott DCP shall be relieved of all Liabilities for those benefits.</w:t>
      </w:r>
    </w:p>
    <w:p>
      <w:pPr>
        <w:spacing w:after="0" w:line="153" w:lineRule="exact"/>
        <w:rPr>
          <w:rFonts w:ascii="Arial" w:cs="Arial" w:eastAsia="Arial" w:hAnsi="Arial"/>
          <w:sz w:val="16"/>
          <w:szCs w:val="16"/>
          <w:color w:val="auto"/>
        </w:rPr>
      </w:pPr>
    </w:p>
    <w:p>
      <w:pPr>
        <w:ind w:left="640" w:right="460" w:firstLine="1253"/>
        <w:spacing w:after="0" w:line="300" w:lineRule="auto"/>
        <w:tabs>
          <w:tab w:leader="none" w:pos="2558" w:val="left"/>
        </w:tabs>
        <w:numPr>
          <w:ilvl w:val="2"/>
          <w:numId w:val="141"/>
        </w:numPr>
        <w:rPr>
          <w:rFonts w:ascii="Arial" w:cs="Arial" w:eastAsia="Arial" w:hAnsi="Arial"/>
          <w:sz w:val="15"/>
          <w:szCs w:val="15"/>
          <w:color w:val="auto"/>
        </w:rPr>
      </w:pPr>
      <w:r>
        <w:rPr>
          <w:rFonts w:ascii="Arial" w:cs="Arial" w:eastAsia="Arial" w:hAnsi="Arial"/>
          <w:sz w:val="15"/>
          <w:szCs w:val="15"/>
          <w:color w:val="auto"/>
        </w:rPr>
        <w:t>As of or as soon as practicable after the applicable Transfer Date, the Parties shall cooperate to cause the accounts of the applicable Transferred Employee or AbbVie LTD Participant participating in the Abbott DCP to be transferred to the AbbVie DCP. AbbVie shall</w:t>
      </w:r>
    </w:p>
    <w:p>
      <w:pPr>
        <w:jc w:val="both"/>
        <w:ind w:left="640" w:hanging="6"/>
        <w:spacing w:after="0" w:line="284" w:lineRule="auto"/>
        <w:tabs>
          <w:tab w:leader="none" w:pos="92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credit each such Transferred Employee’s or AbbVie LTD Participant’s account with (1) the amount deferred by such individual into the Abbott DCP as of the applicable Transfer Date, plus (2) any employer contributions, whether vested or unvested, deemed to have been made in relation to the amount described in (1), including, in each case, any earnings thereon, and (B) recognize and honor all deferral and distribution elections made by such individual (including any deferral election applicable to any bonus earned but not yet paid as of the applicable Transfer Date).</w:t>
      </w:r>
    </w:p>
    <w:p>
      <w:pPr>
        <w:spacing w:after="0" w:line="165" w:lineRule="exact"/>
        <w:rPr>
          <w:rFonts w:ascii="Arial" w:cs="Arial" w:eastAsia="Arial" w:hAnsi="Arial"/>
          <w:sz w:val="16"/>
          <w:szCs w:val="16"/>
          <w:color w:val="auto"/>
        </w:rPr>
      </w:pPr>
    </w:p>
    <w:p>
      <w:pPr>
        <w:jc w:val="both"/>
        <w:ind w:right="60" w:firstLine="1263"/>
        <w:spacing w:after="0" w:line="290" w:lineRule="auto"/>
        <w:tabs>
          <w:tab w:leader="none" w:pos="1898"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Abbott DCP after Distribution Date</w:t>
      </w:r>
      <w:r>
        <w:rPr>
          <w:rFonts w:ascii="Arial" w:cs="Arial" w:eastAsia="Arial" w:hAnsi="Arial"/>
          <w:sz w:val="16"/>
          <w:szCs w:val="16"/>
          <w:color w:val="auto"/>
        </w:rPr>
        <w:t>. From and after a Transferred Employee’s or an AbbVie LTD Participant’s Transfer Date,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shall not participate in or accrue any benefits under the Abbott DCP. Without limiting the generality of the foregoing, each Transferred Employee or AbbVie LTD Participant shall cease to participate in the Abbott DCP effective as of his or her Transfer Date. The Abbott DCP shall continue to be responsible for Liabilities in respect of Abbott Retained Employees and Former Employees (other than AbbVie LTD Participants) and their beneficiaries and/or alternate payees.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Supplemental Savings Plan</w:t>
      </w:r>
      <w:r>
        <w:rPr>
          <w:rFonts w:ascii="Arial" w:cs="Arial" w:eastAsia="Arial" w:hAnsi="Arial"/>
          <w:sz w:val="17"/>
          <w:szCs w:val="17"/>
          <w:color w:val="auto"/>
        </w:rPr>
        <w:t>.</w:t>
      </w:r>
    </w:p>
    <w:p>
      <w:pPr>
        <w:spacing w:after="0" w:line="224" w:lineRule="exact"/>
        <w:rPr>
          <w:sz w:val="20"/>
          <w:szCs w:val="20"/>
          <w:color w:val="auto"/>
        </w:rPr>
      </w:pPr>
    </w:p>
    <w:p>
      <w:pPr>
        <w:ind w:right="180" w:firstLine="1263"/>
        <w:spacing w:after="0" w:line="289" w:lineRule="auto"/>
        <w:tabs>
          <w:tab w:leader="none" w:pos="1898" w:val="left"/>
        </w:tabs>
        <w:numPr>
          <w:ilvl w:val="1"/>
          <w:numId w:val="143"/>
        </w:numPr>
        <w:rPr>
          <w:rFonts w:ascii="Arial" w:cs="Arial" w:eastAsia="Arial" w:hAnsi="Arial"/>
          <w:sz w:val="17"/>
          <w:szCs w:val="17"/>
          <w:color w:val="auto"/>
        </w:rPr>
      </w:pPr>
      <w:r>
        <w:rPr>
          <w:rFonts w:ascii="Arial" w:cs="Arial" w:eastAsia="Arial" w:hAnsi="Arial"/>
          <w:sz w:val="17"/>
          <w:szCs w:val="17"/>
          <w:i w:val="1"/>
          <w:iCs w:val="1"/>
          <w:color w:val="auto"/>
        </w:rPr>
        <w:t>Establishment of AbbVie SSP</w:t>
      </w:r>
      <w:r>
        <w:rPr>
          <w:rFonts w:ascii="Arial" w:cs="Arial" w:eastAsia="Arial" w:hAnsi="Arial"/>
          <w:sz w:val="17"/>
          <w:szCs w:val="17"/>
          <w:color w:val="auto"/>
        </w:rPr>
        <w:t>. Effective as of or before the Distribution Date, AbbVie shall establish the AbbVie SSP, with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funding arrangements substantially similar to those of the Abbott KSP as of the Distribution Date.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143"/>
        </w:numPr>
        <w:rPr>
          <w:rFonts w:ascii="Arial" w:cs="Arial" w:eastAsia="Arial" w:hAnsi="Arial"/>
          <w:sz w:val="17"/>
          <w:szCs w:val="17"/>
          <w:color w:val="auto"/>
        </w:rPr>
      </w:pPr>
      <w:r>
        <w:rPr>
          <w:rFonts w:ascii="Arial" w:cs="Arial" w:eastAsia="Arial" w:hAnsi="Arial"/>
          <w:sz w:val="17"/>
          <w:szCs w:val="17"/>
          <w:i w:val="1"/>
          <w:iCs w:val="1"/>
          <w:color w:val="auto"/>
        </w:rPr>
        <w:t>Assumption of KSP Liabilities and Transfer from Abbott KSP</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1253"/>
        <w:spacing w:after="0" w:line="298" w:lineRule="auto"/>
        <w:tabs>
          <w:tab w:leader="none" w:pos="2548" w:val="left"/>
        </w:tabs>
        <w:numPr>
          <w:ilvl w:val="2"/>
          <w:numId w:val="143"/>
        </w:numPr>
        <w:rPr>
          <w:rFonts w:ascii="Arial" w:cs="Arial" w:eastAsia="Arial" w:hAnsi="Arial"/>
          <w:sz w:val="16"/>
          <w:szCs w:val="16"/>
          <w:color w:val="auto"/>
        </w:rPr>
      </w:pPr>
      <w:r>
        <w:rPr>
          <w:rFonts w:ascii="Arial" w:cs="Arial" w:eastAsia="Arial" w:hAnsi="Arial"/>
          <w:sz w:val="16"/>
          <w:szCs w:val="16"/>
          <w:color w:val="auto"/>
        </w:rPr>
        <w:t>As of a Transferred Employee’s or an AbbVie LTD Participant’s Transfer Date, AbbVie shall, and shall cause the AbbVie SSP to, assume all Liabilities for all obligations under the Abbott KSP for the benefits of such individual and his or her beneficiaries and/or alternate payees, determined as of such Transfer Date, and Abbott and the Abbott KSP shall be relieved of all Liabilities for those benefits.</w:t>
      </w:r>
    </w:p>
    <w:p>
      <w:pPr>
        <w:spacing w:after="0" w:line="153" w:lineRule="exact"/>
        <w:rPr>
          <w:rFonts w:ascii="Arial" w:cs="Arial" w:eastAsia="Arial" w:hAnsi="Arial"/>
          <w:sz w:val="16"/>
          <w:szCs w:val="16"/>
          <w:color w:val="auto"/>
        </w:rPr>
      </w:pPr>
    </w:p>
    <w:p>
      <w:pPr>
        <w:ind w:left="640" w:right="460" w:firstLine="1253"/>
        <w:spacing w:after="0" w:line="281" w:lineRule="auto"/>
        <w:tabs>
          <w:tab w:leader="none" w:pos="2558" w:val="left"/>
        </w:tabs>
        <w:numPr>
          <w:ilvl w:val="2"/>
          <w:numId w:val="143"/>
        </w:numPr>
        <w:rPr>
          <w:rFonts w:ascii="Arial" w:cs="Arial" w:eastAsia="Arial" w:hAnsi="Arial"/>
          <w:sz w:val="16"/>
          <w:szCs w:val="16"/>
          <w:color w:val="auto"/>
        </w:rPr>
      </w:pPr>
      <w:r>
        <w:rPr>
          <w:rFonts w:ascii="Arial" w:cs="Arial" w:eastAsia="Arial" w:hAnsi="Arial"/>
          <w:sz w:val="16"/>
          <w:szCs w:val="16"/>
          <w:color w:val="auto"/>
        </w:rPr>
        <w:t>As of or as soon as practicable after the applicable Transfer Date, the Parties shall cooperate to cause the accounts of the applicable Transferred Employee or AbbVie LTD Participant participating in the Abbott KSP to be transferred to the AbbVie SSP. AbbVie shall</w:t>
      </w:r>
    </w:p>
    <w:p>
      <w:pPr>
        <w:jc w:val="both"/>
        <w:ind w:left="640" w:right="100" w:hanging="6"/>
        <w:spacing w:after="0" w:line="263" w:lineRule="auto"/>
        <w:tabs>
          <w:tab w:leader="none" w:pos="92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credit each such Transferred Employee’s or AbbVie LTD Participant’s account with (1) the amount deferred by such individual into the Abbott KSP as of the applicable Transfer Date, plus (2) any employer contributions, whether vested or unvested, deemed to have been made in relation to the amount described in (1), including, in each case, any earnings thereon, and (B) recognize and honor all deferral and distribution elections made by such individual.</w:t>
      </w:r>
    </w:p>
    <w:p>
      <w:pPr>
        <w:spacing w:after="0" w:line="179" w:lineRule="exact"/>
        <w:rPr>
          <w:rFonts w:ascii="Arial" w:cs="Arial" w:eastAsia="Arial" w:hAnsi="Arial"/>
          <w:sz w:val="17"/>
          <w:szCs w:val="17"/>
          <w:color w:val="auto"/>
        </w:rPr>
      </w:pPr>
    </w:p>
    <w:p>
      <w:pPr>
        <w:ind w:right="20" w:firstLine="1263"/>
        <w:spacing w:after="0" w:line="263" w:lineRule="auto"/>
        <w:tabs>
          <w:tab w:leader="none" w:pos="1898"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Abbott KSP after Distribution Date</w:t>
      </w:r>
      <w:r>
        <w:rPr>
          <w:rFonts w:ascii="Arial" w:cs="Arial" w:eastAsia="Arial" w:hAnsi="Arial"/>
          <w:sz w:val="17"/>
          <w:szCs w:val="17"/>
          <w:color w:val="auto"/>
        </w:rPr>
        <w:t>. From and after a Transferred Employee’s or an AbbVie LTD Participant’s Transfer Date,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shall not participate in or accrue any benefits under the Abbott KSP. Without limiting the generality of the foregoing, each Transferred Employee or AbbVie LTD Participant shall cease to participate in the Abbott KSP effective as of his or her Transfer Date. The Abbott KSP shall continue to be responsible for Liabilities in respect of Abbott Retained Employees and Former Employees (other than AbbVie LTD Participants) and their beneficiaries and/or alternate payees, but shall share with AbbVie the cost of benefits provided to Former Employees (other than LTD Participants) in accordance with procedures mutually agreed to by the Parties.</w:t>
      </w:r>
    </w:p>
    <w:p>
      <w:pPr>
        <w:spacing w:after="0" w:line="183"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Deferred Compensation Plan for Former Employees of Solvay and Supplemental Pension Plan for Former BASF and Former Solvay</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Employees</w:t>
      </w:r>
      <w:r>
        <w:rPr>
          <w:rFonts w:ascii="Arial" w:cs="Arial" w:eastAsia="Arial" w:hAnsi="Arial"/>
          <w:sz w:val="17"/>
          <w:szCs w:val="17"/>
          <w:color w:val="auto"/>
        </w:rPr>
        <w:t>.</w:t>
      </w:r>
    </w:p>
    <w:p>
      <w:pPr>
        <w:spacing w:after="0" w:line="158" w:lineRule="exact"/>
        <w:rPr>
          <w:sz w:val="20"/>
          <w:szCs w:val="20"/>
          <w:color w:val="auto"/>
        </w:rPr>
      </w:pPr>
    </w:p>
    <w:p>
      <w:pPr>
        <w:ind w:right="200" w:firstLine="1263"/>
        <w:spacing w:after="0" w:line="290" w:lineRule="auto"/>
        <w:tabs>
          <w:tab w:leader="none" w:pos="1898"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Transfer of Plan Sponsorship to AbbVie</w:t>
      </w:r>
      <w:r>
        <w:rPr>
          <w:rFonts w:ascii="Arial" w:cs="Arial" w:eastAsia="Arial" w:hAnsi="Arial"/>
          <w:sz w:val="16"/>
          <w:szCs w:val="16"/>
          <w:color w:val="auto"/>
        </w:rPr>
        <w:t>. Effective as of the Distribution Date, a member of the AbbVie Group shall assume or retain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sponsorship of the Deferred Compensation Plan for Former Employees of Solvay and the Supplemental Pension Plan for Former BASF and Former Solvay Employees and, except as otherwise provided in </w:t>
      </w:r>
      <w:r>
        <w:rPr>
          <w:rFonts w:ascii="Arial" w:cs="Arial" w:eastAsia="Arial" w:hAnsi="Arial"/>
          <w:sz w:val="16"/>
          <w:szCs w:val="16"/>
          <w:u w:val="single" w:color="auto"/>
          <w:color w:val="auto"/>
        </w:rPr>
        <w:t>Section 3.08(b)</w:t>
      </w:r>
      <w:r>
        <w:rPr>
          <w:rFonts w:ascii="Arial" w:cs="Arial" w:eastAsia="Arial" w:hAnsi="Arial"/>
          <w:sz w:val="16"/>
          <w:szCs w:val="16"/>
          <w:color w:val="auto"/>
        </w:rPr>
        <w:t>, shall be responsible for all Liabilities thereunder. Such plans shall be amended, effective as of the Distribution Date, to reflect such sponsorship and to make other changes reasonably necessary to effectuate the sponsorship change.</w:t>
      </w:r>
    </w:p>
    <w:p>
      <w:pPr>
        <w:spacing w:after="0" w:line="159" w:lineRule="exact"/>
        <w:rPr>
          <w:rFonts w:ascii="Arial" w:cs="Arial" w:eastAsia="Arial" w:hAnsi="Arial"/>
          <w:sz w:val="16"/>
          <w:szCs w:val="16"/>
          <w:color w:val="auto"/>
        </w:rPr>
      </w:pPr>
    </w:p>
    <w:p>
      <w:pPr>
        <w:ind w:right="340" w:firstLine="1263"/>
        <w:spacing w:after="0" w:line="289" w:lineRule="auto"/>
        <w:tabs>
          <w:tab w:leader="none" w:pos="1895"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Abbott Retention of Liabilities for Benefits Due to Abbott Retained Employees and Abbott LTD Participants</w:t>
      </w:r>
      <w:r>
        <w:rPr>
          <w:rFonts w:ascii="Arial" w:cs="Arial" w:eastAsia="Arial" w:hAnsi="Arial"/>
          <w:sz w:val="17"/>
          <w:szCs w:val="17"/>
          <w:color w:val="auto"/>
        </w:rPr>
        <w:t>. Abbott shall retain all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relating to, arising out of, or resulting from the Deferred Compensation Plan for Former Employees of Solvay and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60" w:lineRule="auto"/>
        <w:rPr>
          <w:sz w:val="20"/>
          <w:szCs w:val="20"/>
          <w:color w:val="auto"/>
        </w:rPr>
      </w:pPr>
      <w:r>
        <w:rPr>
          <w:rFonts w:ascii="Arial" w:cs="Arial" w:eastAsia="Arial" w:hAnsi="Arial"/>
          <w:sz w:val="15"/>
          <w:szCs w:val="15"/>
          <w:color w:val="auto"/>
        </w:rPr>
        <w:t>Supplemental Pension Plan for Former BASF and Former Solvay Employees with respect to Abbott Retained Employees and Abbott LTD Participants and their beneficiaries and/or alternate payees (and, with respect to such Supplemental Pension Plan for Former BASF and Former Solvay Employees, any other individual</w:t>
      </w:r>
    </w:p>
    <w:p>
      <w:pPr>
        <w:sectPr>
          <w:pgSz w:w="11900" w:h="16917" w:orient="portrait"/>
          <w:cols w:equalWidth="0" w:num="1">
            <w:col w:w="11420"/>
          </w:cols>
          <w:pgMar w:left="240" w:top="337" w:right="239" w:bottom="0" w:gutter="0" w:footer="0" w:header="0"/>
        </w:sectPr>
      </w:pPr>
    </w:p>
    <w:bookmarkStart w:id="57" w:name="page58"/>
    <w:bookmarkEnd w:id="57"/>
    <w:p>
      <w:pPr>
        <w:jc w:val="both"/>
        <w:spacing w:after="0" w:line="265" w:lineRule="auto"/>
        <w:rPr>
          <w:sz w:val="20"/>
          <w:szCs w:val="20"/>
          <w:color w:val="auto"/>
        </w:rPr>
      </w:pPr>
      <w:r>
        <w:rPr>
          <w:rFonts w:ascii="Arial" w:cs="Arial" w:eastAsia="Arial" w:hAnsi="Arial"/>
          <w:sz w:val="17"/>
          <w:szCs w:val="17"/>
          <w:color w:val="auto"/>
        </w:rPr>
        <w:t>on whose behalf Liabilities are transferred from the Pension Plan for Former BASF and Former Solvay Employees to the Abbott ARP under Section 3.04(b)(iii)). Effective as of or before the Distribution Date, Abbott shall amend or adopt such plans as it deems necessary to incorporate the provisions necessary to document and provide for such benefits due to the affected Abbott Retained Employees and Abbott LTD Participants. From and after the Distribution Date, no Employee of the Abbott Group shall participate in or accrue any benefits under the Deferred Compensation Plan for Former Employees of Solvay and the Supplemental Pension Plan for Former BASF and Former Solvay Employees.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NON-U.S. RETIREMENT PLANS</w:t>
      </w:r>
    </w:p>
    <w:p>
      <w:pPr>
        <w:spacing w:after="0" w:line="224"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Establishment of Non-U.S. Retirement Plans and Transfers of Assets and Liabilities</w:t>
      </w:r>
      <w:r>
        <w:rPr>
          <w:rFonts w:ascii="Arial" w:cs="Arial" w:eastAsia="Arial" w:hAnsi="Arial"/>
          <w:sz w:val="17"/>
          <w:szCs w:val="17"/>
          <w:color w:val="auto"/>
        </w:rPr>
        <w:t>. Except as mutually agreed upon by the Parties or required under this Article IV or Article VII, AbbVie or its appropriate Affiliate will establish a pension plan (whether a defined contribution or defined benefit pension plan) with terms that are substantially similar to those of the corresponding Non-U.S. Abbott Benefit Plan.</w:t>
      </w:r>
    </w:p>
    <w:p>
      <w:pPr>
        <w:spacing w:after="0" w:line="172" w:lineRule="exact"/>
        <w:rPr>
          <w:sz w:val="20"/>
          <w:szCs w:val="20"/>
          <w:color w:val="auto"/>
        </w:rPr>
      </w:pPr>
    </w:p>
    <w:p>
      <w:pPr>
        <w:ind w:right="60" w:firstLine="1263"/>
        <w:spacing w:after="0" w:line="277" w:lineRule="auto"/>
        <w:tabs>
          <w:tab w:leader="none" w:pos="1898"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Transfer of Non-U.S. Retirement Plan Assets and Liabilities</w:t>
      </w:r>
      <w:r>
        <w:rPr>
          <w:rFonts w:ascii="Arial" w:cs="Arial" w:eastAsia="Arial" w:hAnsi="Arial"/>
          <w:sz w:val="16"/>
          <w:szCs w:val="16"/>
          <w:color w:val="auto"/>
        </w:rPr>
        <w:t>. After a Non-U.S. AbbVie Benefit Plan is established, then,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provided in this Agreement, the Assets and Liabilities determined as of the Distribution Date under the corresponding Non-U.S. Abbott Benefit Plan attributable to Transferred Non-U.S. Employees (and, with respect to each of the countries or entities listed in </w:t>
      </w:r>
      <w:r>
        <w:rPr>
          <w:rFonts w:ascii="Arial" w:cs="Arial" w:eastAsia="Arial" w:hAnsi="Arial"/>
          <w:sz w:val="16"/>
          <w:szCs w:val="16"/>
          <w:u w:val="single" w:color="auto"/>
          <w:color w:val="auto"/>
        </w:rPr>
        <w:t>Schedule 4.01(a)</w:t>
      </w:r>
      <w:r>
        <w:rPr>
          <w:rFonts w:ascii="Arial" w:cs="Arial" w:eastAsia="Arial" w:hAnsi="Arial"/>
          <w:sz w:val="16"/>
          <w:szCs w:val="16"/>
          <w:color w:val="auto"/>
        </w:rPr>
        <w:t xml:space="preserve">, AbbVie Former Employees) who are participants in that plan, along with any other Assets and Liabilities that AbbVie agrees to assume with respect to such plan, shall be transferred to the applicable Non-U.S. AbbVie Benefit Plan. The Non-U.S. Abbott Benefit Plan shall retain all Assets and Liabilities related to Abbott Retained Employees, Abbott Former Employees, and, with respect to each of the countries or entities not listed in </w:t>
      </w:r>
      <w:r>
        <w:rPr>
          <w:rFonts w:ascii="Arial" w:cs="Arial" w:eastAsia="Arial" w:hAnsi="Arial"/>
          <w:sz w:val="16"/>
          <w:szCs w:val="16"/>
          <w:u w:val="single" w:color="auto"/>
          <w:color w:val="auto"/>
        </w:rPr>
        <w:t>Schedule 4.01(a)</w:t>
      </w:r>
      <w:r>
        <w:rPr>
          <w:rFonts w:ascii="Arial" w:cs="Arial" w:eastAsia="Arial" w:hAnsi="Arial"/>
          <w:sz w:val="16"/>
          <w:szCs w:val="16"/>
          <w:color w:val="auto"/>
        </w:rPr>
        <w:t xml:space="preserve">, AbbVie Former Employees. Assets will be allocated between the plans based on the proportion of Liabilities borne by each plan. Except as otherwise mutually agreed upon by the Parties, such Liabilities will be valued as of the Distribution Date using the projected benefit obligation based on plan provisions as in effect at the Distribution Date and applying demographic and other assumptions used in the most recently completed valuation of the applicable Non-U.S. Abbott Benefit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economic assumptions will be updated as of the Distribution Date. The transfer amount described above shall be credited or debited, as applicable, with a pro rata share of the actual investment earnings or losses allocable to the transfer amount for the period between the Distribution Date and an assessment date set by Abbott that is as close as practicable, taking into account the timing and reporting of valuation of the applicable Non-U.S. Abbott Benefit Plan’s Assets, to the date upon which Assets equal in value to the transfer amount are actually transferred from the applicable Non-U.S. Abbott Benefit Plan to the applicable Non-U.S. AbbVie Benefit Plan. During this period, with respect to countries or entities listed in Schedule 4.01(a), benefits for AbbVie Former Employees shall be paid from the Non-U.S. Abbott Benefit Plan. Except as otherwise mutually agreed upon by the Parties, the ultimate transfer amount shall be reduced by the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of these benefits and credited or debited by the actual investment earnings or losses from the payment date to the assessment date set by Abbott above. Any third party fees, costs or expenses incurred under the applicable Non-U.S. Abbott Benefit Plan during the period from the Distribution Date to the assessment date set by Abbott shall be shared by the Parties based on the proportion of Liabilities borne by the applicable Non-U.S. Abbott Benefit Plan and the applicable Non-U.S. AbbVie Benefit Plan. The Parties agree to use commercially reasonable efforts to accomplish each transfer as soon as practicable following the Distribution Date and to cooperate with each other to make such filings and disclosures and obtain such approvals as may be deemed necessary or advisable in accordance with applicable Law.</w:t>
      </w:r>
    </w:p>
    <w:p>
      <w:pPr>
        <w:spacing w:after="0" w:line="183" w:lineRule="exact"/>
        <w:rPr>
          <w:sz w:val="20"/>
          <w:szCs w:val="20"/>
          <w:color w:val="auto"/>
        </w:rPr>
      </w:pPr>
    </w:p>
    <w:p>
      <w:pPr>
        <w:ind w:right="120" w:firstLine="1263"/>
        <w:spacing w:after="0" w:line="289" w:lineRule="auto"/>
        <w:tabs>
          <w:tab w:leader="none" w:pos="1895" w:val="left"/>
        </w:tabs>
        <w:numPr>
          <w:ilvl w:val="1"/>
          <w:numId w:val="147"/>
        </w:numPr>
        <w:rPr>
          <w:rFonts w:ascii="Arial" w:cs="Arial" w:eastAsia="Arial" w:hAnsi="Arial"/>
          <w:sz w:val="17"/>
          <w:szCs w:val="17"/>
          <w:color w:val="auto"/>
        </w:rPr>
      </w:pPr>
      <w:r>
        <w:rPr>
          <w:rFonts w:ascii="Arial" w:cs="Arial" w:eastAsia="Arial" w:hAnsi="Arial"/>
          <w:sz w:val="17"/>
          <w:szCs w:val="17"/>
          <w:i w:val="1"/>
          <w:iCs w:val="1"/>
          <w:color w:val="auto"/>
        </w:rPr>
        <w:t>Non-U.S. AbbVie Retirement Plan Provisions</w:t>
      </w:r>
      <w:r>
        <w:rPr>
          <w:rFonts w:ascii="Arial" w:cs="Arial" w:eastAsia="Arial" w:hAnsi="Arial"/>
          <w:sz w:val="17"/>
          <w:szCs w:val="17"/>
          <w:color w:val="auto"/>
        </w:rPr>
        <w:t>. Each Non-U.S. AbbVie Benefit Plan shall provide, except as otherwise provided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local Conveyance and Assumption Instruments that:</w:t>
      </w:r>
    </w:p>
    <w:p>
      <w:pPr>
        <w:spacing w:after="0" w:line="158" w:lineRule="exact"/>
        <w:rPr>
          <w:rFonts w:ascii="Arial" w:cs="Arial" w:eastAsia="Arial" w:hAnsi="Arial"/>
          <w:sz w:val="17"/>
          <w:szCs w:val="17"/>
          <w:color w:val="auto"/>
        </w:rPr>
      </w:pPr>
    </w:p>
    <w:p>
      <w:pPr>
        <w:ind w:left="640" w:right="200" w:firstLine="1253"/>
        <w:spacing w:after="0" w:line="290" w:lineRule="auto"/>
        <w:tabs>
          <w:tab w:leader="none" w:pos="2548" w:val="left"/>
        </w:tabs>
        <w:numPr>
          <w:ilvl w:val="2"/>
          <w:numId w:val="147"/>
        </w:numPr>
        <w:rPr>
          <w:rFonts w:ascii="Arial" w:cs="Arial" w:eastAsia="Arial" w:hAnsi="Arial"/>
          <w:sz w:val="16"/>
          <w:szCs w:val="16"/>
          <w:color w:val="auto"/>
        </w:rPr>
      </w:pPr>
      <w:r>
        <w:rPr>
          <w:rFonts w:ascii="Arial" w:cs="Arial" w:eastAsia="Arial" w:hAnsi="Arial"/>
          <w:sz w:val="16"/>
          <w:szCs w:val="16"/>
          <w:color w:val="auto"/>
        </w:rPr>
        <w:t xml:space="preserve">Transferred Non-U.S. Employees (and, with respect to each of the countries or entities listed in </w:t>
      </w:r>
      <w:r>
        <w:rPr>
          <w:rFonts w:ascii="Arial" w:cs="Arial" w:eastAsia="Arial" w:hAnsi="Arial"/>
          <w:sz w:val="16"/>
          <w:szCs w:val="16"/>
          <w:u w:val="single" w:color="auto"/>
          <w:color w:val="auto"/>
        </w:rPr>
        <w:t>Schedule 4.01(a)</w:t>
      </w:r>
      <w:r>
        <w:rPr>
          <w:rFonts w:ascii="Arial" w:cs="Arial" w:eastAsia="Arial" w:hAnsi="Arial"/>
          <w:sz w:val="16"/>
          <w:szCs w:val="16"/>
          <w:color w:val="auto"/>
        </w:rPr>
        <w:t>, AbbVie Former Employees) shall (A) be eligible to participate in the Non-U.S. AbbVie Benefit Plan to the extent they were eligible to participate in the corresponding Non-U.S. Abbott Benefit Plan as of the Distribution Date, and (B) receive credit for vesting, eligibility and benefit service for all service credited for those purposes under the corresponding Non-U.S. Abbott Benefit Plan as if that service had been rendered to AbbVie;</w:t>
      </w:r>
    </w:p>
    <w:p>
      <w:pPr>
        <w:spacing w:after="0" w:line="159" w:lineRule="exact"/>
        <w:rPr>
          <w:rFonts w:ascii="Arial" w:cs="Arial" w:eastAsia="Arial" w:hAnsi="Arial"/>
          <w:sz w:val="16"/>
          <w:szCs w:val="16"/>
          <w:color w:val="auto"/>
        </w:rPr>
      </w:pPr>
    </w:p>
    <w:p>
      <w:pPr>
        <w:ind w:left="640" w:right="140" w:firstLine="1253"/>
        <w:spacing w:after="0" w:line="268" w:lineRule="auto"/>
        <w:tabs>
          <w:tab w:leader="none" w:pos="2558" w:val="left"/>
        </w:tabs>
        <w:numPr>
          <w:ilvl w:val="2"/>
          <w:numId w:val="147"/>
        </w:numPr>
        <w:rPr>
          <w:rFonts w:ascii="Arial" w:cs="Arial" w:eastAsia="Arial" w:hAnsi="Arial"/>
          <w:sz w:val="17"/>
          <w:szCs w:val="17"/>
          <w:color w:val="auto"/>
        </w:rPr>
      </w:pPr>
      <w:r>
        <w:rPr>
          <w:rFonts w:ascii="Arial" w:cs="Arial" w:eastAsia="Arial" w:hAnsi="Arial"/>
          <w:sz w:val="17"/>
          <w:szCs w:val="17"/>
          <w:color w:val="auto"/>
        </w:rPr>
        <w:t xml:space="preserve">the compensation paid by the Abbott Group to a Transferred Non-U.S. Employee (or, with respect to each of the countries or entities listed in </w:t>
      </w:r>
      <w:r>
        <w:rPr>
          <w:rFonts w:ascii="Arial" w:cs="Arial" w:eastAsia="Arial" w:hAnsi="Arial"/>
          <w:sz w:val="17"/>
          <w:szCs w:val="17"/>
          <w:u w:val="single" w:color="auto"/>
          <w:color w:val="auto"/>
        </w:rPr>
        <w:t>Schedule 4.01(a)</w:t>
      </w:r>
      <w:r>
        <w:rPr>
          <w:rFonts w:ascii="Arial" w:cs="Arial" w:eastAsia="Arial" w:hAnsi="Arial"/>
          <w:sz w:val="17"/>
          <w:szCs w:val="17"/>
          <w:color w:val="auto"/>
        </w:rPr>
        <w:t>, an AbbVie Former Employee) that is recognized under the Non-U.S. Abbott Benefit Plan shall be credited and recognized for all applicable purposes under the corresponding Non-U.S. AbbVie Benefit Plan as though it were compensation from the AbbVie Group; and</w:t>
      </w:r>
    </w:p>
    <w:p>
      <w:pPr>
        <w:spacing w:after="0" w:line="175" w:lineRule="exact"/>
        <w:rPr>
          <w:rFonts w:ascii="Arial" w:cs="Arial" w:eastAsia="Arial" w:hAnsi="Arial"/>
          <w:sz w:val="17"/>
          <w:szCs w:val="17"/>
          <w:color w:val="auto"/>
        </w:rPr>
      </w:pPr>
    </w:p>
    <w:p>
      <w:pPr>
        <w:ind w:left="640" w:right="140" w:firstLine="1253"/>
        <w:spacing w:after="0" w:line="285" w:lineRule="auto"/>
        <w:tabs>
          <w:tab w:leader="none" w:pos="2567" w:val="left"/>
        </w:tabs>
        <w:numPr>
          <w:ilvl w:val="2"/>
          <w:numId w:val="147"/>
        </w:numPr>
        <w:rPr>
          <w:rFonts w:ascii="Arial" w:cs="Arial" w:eastAsia="Arial" w:hAnsi="Arial"/>
          <w:sz w:val="16"/>
          <w:szCs w:val="16"/>
          <w:color w:val="auto"/>
        </w:rPr>
      </w:pPr>
      <w:r>
        <w:rPr>
          <w:rFonts w:ascii="Arial" w:cs="Arial" w:eastAsia="Arial" w:hAnsi="Arial"/>
          <w:sz w:val="16"/>
          <w:szCs w:val="16"/>
          <w:color w:val="auto"/>
        </w:rPr>
        <w:t xml:space="preserve">the accrued benefit of each Transferred Non-U.S. Employee (or, with respect to each of the countries or entities listed in </w:t>
      </w:r>
      <w:r>
        <w:rPr>
          <w:rFonts w:ascii="Arial" w:cs="Arial" w:eastAsia="Arial" w:hAnsi="Arial"/>
          <w:sz w:val="16"/>
          <w:szCs w:val="16"/>
          <w:u w:val="single" w:color="auto"/>
          <w:color w:val="auto"/>
        </w:rPr>
        <w:t>Schedule 4.01(a)</w:t>
      </w:r>
      <w:r>
        <w:rPr>
          <w:rFonts w:ascii="Arial" w:cs="Arial" w:eastAsia="Arial" w:hAnsi="Arial"/>
          <w:sz w:val="16"/>
          <w:szCs w:val="16"/>
          <w:color w:val="auto"/>
        </w:rPr>
        <w:t xml:space="preserve">, each AbbVie Former Employee) under the Non-U.S. Abbott Benefit Plan that is transferred to the corresponding Non-U.S. AbbVie Benefit Plan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shall be paid under such Non-U.S. AbbVie Benefit Plan in accordance with the terms of such Non-U.S. AbbVie Benefit Plan and applicable Law, with employment by the Abbott Group treated as employment by the AbbVie Group under the Non-U.S. AbbVie Benefit Plan for purposes of determining eligibility for optional forms of benefit, early retirement benefits, or other benefit forms.</w:t>
      </w:r>
    </w:p>
    <w:p>
      <w:pPr>
        <w:spacing w:after="0" w:line="166" w:lineRule="exact"/>
        <w:rPr>
          <w:rFonts w:ascii="Arial" w:cs="Arial" w:eastAsia="Arial" w:hAnsi="Arial"/>
          <w:sz w:val="16"/>
          <w:szCs w:val="16"/>
          <w:color w:val="auto"/>
        </w:rPr>
      </w:pPr>
    </w:p>
    <w:p>
      <w:pPr>
        <w:ind w:left="1900" w:hanging="637"/>
        <w:spacing w:after="0"/>
        <w:tabs>
          <w:tab w:leader="none" w:pos="1900" w:val="left"/>
        </w:tabs>
        <w:numPr>
          <w:ilvl w:val="1"/>
          <w:numId w:val="147"/>
        </w:numPr>
        <w:rPr>
          <w:rFonts w:ascii="Arial" w:cs="Arial" w:eastAsia="Arial" w:hAnsi="Arial"/>
          <w:sz w:val="16"/>
          <w:szCs w:val="16"/>
          <w:color w:val="auto"/>
        </w:rPr>
      </w:pPr>
      <w:r>
        <w:rPr>
          <w:rFonts w:ascii="Arial" w:cs="Arial" w:eastAsia="Arial" w:hAnsi="Arial"/>
          <w:sz w:val="16"/>
          <w:szCs w:val="16"/>
          <w:i w:val="1"/>
          <w:iCs w:val="1"/>
          <w:color w:val="auto"/>
        </w:rPr>
        <w:t>Subsequent Transfers</w:t>
      </w:r>
      <w:r>
        <w:rPr>
          <w:rFonts w:ascii="Arial" w:cs="Arial" w:eastAsia="Arial" w:hAnsi="Arial"/>
          <w:sz w:val="16"/>
          <w:szCs w:val="16"/>
          <w:color w:val="auto"/>
        </w:rPr>
        <w:t>. Periodically, at such times as agreed upon by the Parties after the initial transfer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4.01(a)</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right="280" w:firstLine="5"/>
        <w:spacing w:after="0" w:line="261" w:lineRule="auto"/>
        <w:tabs>
          <w:tab w:leader="none" w:pos="19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AbbVie shall cause the applicable Non-U.S. AbbVie Benefit Plan to receive Assets and assume all Liabilities under the applicable Non-U.S. Abbott Benefit Plan for Post-Distribution AbbVie Employees and other Employees who cease to be employed by Abbott after the Distribution Date and become employed by AbbVie during the Transition Period (including Assets and Liabilities in respect of beneficiaries and/or alternate payees) and the applicable Non-U.S. Abbott Benefit Plan shall transfer all such Assets and be relieved of such Liabilities, and (ii) Abbott shall cause the applicable Non-U.S. Abbott Benefit Plan to receive Assets and assume all Liabilities under the applicable Non-U.S.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AbbVie Benefit Plan for Employees who cease to be employed by AbbVie after the Distribution Date and become employed by Abbott during the Transition Period (including Assets and Liabilities in respect of beneficiaries and/or alternate payees) and the applicable Non-U.S. AbbVie Benefit Plan shall transfer all such Assets and be relieved of such Liabilities. The amount of such Assets to be transferred shall be determined as provided in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and shall be subject to the applicable provisions of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Shared Plan Model</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58" w:name="page59"/>
    <w:bookmarkEnd w:id="58"/>
    <w:p>
      <w:pPr>
        <w:spacing w:after="0" w:line="55" w:lineRule="exact"/>
        <w:rPr>
          <w:sz w:val="20"/>
          <w:szCs w:val="20"/>
          <w:color w:val="auto"/>
        </w:rPr>
      </w:pPr>
    </w:p>
    <w:p>
      <w:pPr>
        <w:ind w:left="1900" w:hanging="637"/>
        <w:spacing w:after="0"/>
        <w:tabs>
          <w:tab w:leader="none" w:pos="190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AbbVie Participation in Non-U.S. Abbott Retirement Plans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62" w:lineRule="auto"/>
        <w:tabs>
          <w:tab w:leader="none" w:pos="254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In each of the countries or entities listed in </w:t>
      </w:r>
      <w:r>
        <w:rPr>
          <w:rFonts w:ascii="Arial" w:cs="Arial" w:eastAsia="Arial" w:hAnsi="Arial"/>
          <w:sz w:val="17"/>
          <w:szCs w:val="17"/>
          <w:u w:val="single" w:color="auto"/>
          <w:color w:val="auto"/>
        </w:rPr>
        <w:t>Schedule 4.02(a)</w:t>
      </w:r>
      <w:r>
        <w:rPr>
          <w:rFonts w:ascii="Arial" w:cs="Arial" w:eastAsia="Arial" w:hAnsi="Arial"/>
          <w:sz w:val="17"/>
          <w:szCs w:val="17"/>
          <w:color w:val="auto"/>
        </w:rPr>
        <w:t>, Abbott or its appropriate Affiliate will permit AbbVie or its appropriate Affiliate to continue to participate in the Non-U.S. Abbott Benefit Plan providing retirement benefits in that country after the Distribution. Except as otherwise mutually agreed upon by the Parties, such continued participation is subject to the following requirements: (A) Abbott or its appropriate Affiliate will remain the principal employer under the plan; (B) Abbott and only Abbott or its appropriate Affiliate may amend the plan at any time; (C) any third party fees, costs or expenses shall be shared by the Parties on the basis of their proportionate share of the Liabilities under the Non-U.S. Abbott Benefit Plan; (D) Abbott shall determine the benefit formula or structure under the plan (which shall apply uniformly to all similarly situated participants); and (E) such continued participation may not extend beyond two years after the Distribution Date, unless otherwise mutually agreed by each Party’s head of human resources (or such individual’s delegate).</w:t>
      </w:r>
    </w:p>
    <w:p>
      <w:pPr>
        <w:spacing w:after="0" w:line="180" w:lineRule="exact"/>
        <w:rPr>
          <w:rFonts w:ascii="Arial" w:cs="Arial" w:eastAsia="Arial" w:hAnsi="Arial"/>
          <w:sz w:val="17"/>
          <w:szCs w:val="17"/>
          <w:color w:val="auto"/>
        </w:rPr>
      </w:pPr>
    </w:p>
    <w:p>
      <w:pPr>
        <w:ind w:left="640" w:right="80" w:firstLine="1253"/>
        <w:spacing w:after="0" w:line="277" w:lineRule="auto"/>
        <w:tabs>
          <w:tab w:leader="none" w:pos="255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At or before the end of the shared plan period, in each of the countries or entities listed in </w:t>
      </w:r>
      <w:r>
        <w:rPr>
          <w:rFonts w:ascii="Arial" w:cs="Arial" w:eastAsia="Arial" w:hAnsi="Arial"/>
          <w:sz w:val="16"/>
          <w:szCs w:val="16"/>
          <w:u w:val="single" w:color="auto"/>
          <w:color w:val="auto"/>
        </w:rPr>
        <w:t>Schedule 4.02(a)</w:t>
      </w:r>
      <w:r>
        <w:rPr>
          <w:rFonts w:ascii="Arial" w:cs="Arial" w:eastAsia="Arial" w:hAnsi="Arial"/>
          <w:sz w:val="16"/>
          <w:szCs w:val="16"/>
          <w:color w:val="auto"/>
        </w:rPr>
        <w:t xml:space="preserve">, AbbVie or its appropriate Affiliate shall establish its own plan or arrangement to deliver the benefits due to AbbVie Employees (including both current and former AbbVie Employees) and AbbVie Former Employees under the applicable Non-U.S. Abbott Benefit Plan or otherwise shall be responsible for all costs incurred by the Parties in connection with winding up or terminating the participation of AbbVie or its appropriate Affiliate in the Non-U.S. Abbott Benefit Plan. Following the establishment of the Non-U.S. AbbVie Benefit Plan, the Assets and Liabilities of the Non-U.S. Abbott Benefit Plan attributable to AbbVie Employees (including both current and former AbbVie Employees) and AbbVie Former Employees who are participants in that plan shall be transferred to the applicable Non-U.S. AbbVie Benefit Plan. Assets will be allocated between the plans based on the proportion of Liabilities borne by each plan. Except as otherwise mutually agreed upon by the Parties, such Liabilities will be valued as of the Distribution Date using the projected unit credit method based on plan provisions as in effect at the Distribution Date and applying the demographic and other assumptions used in the most recently completed valuation of the applicable Non-U.S. Abbott Benefit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economic assumptions will be updated as of the Distribution Date. The transfer amount described above shall be credited or debited, as applicable, with a pro rata share of the actual investment earnings or losses allocable to the transfer amount for the period between the establishment of the Non-U.S. AbbVie Benefit Plan and an assessment date set by Abbott that is as close as practicable, taking into account the timing and reporting of valuation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98" w:lineRule="auto"/>
        <w:rPr>
          <w:sz w:val="20"/>
          <w:szCs w:val="20"/>
          <w:color w:val="auto"/>
        </w:rPr>
      </w:pPr>
      <w:r>
        <w:rPr>
          <w:rFonts w:ascii="Arial" w:cs="Arial" w:eastAsia="Arial" w:hAnsi="Arial"/>
          <w:sz w:val="15"/>
          <w:szCs w:val="15"/>
          <w:color w:val="auto"/>
        </w:rPr>
        <w:t>the applicable Non-U.S. Abbott Benefit Plan’s Assets, to the date upon which Assets equal in value to the transfer amount are actually transferred from the applicable Non-U.S. Abbott Benefit Plan to the applicable Non-U.S. AbbVie Benefit Plan. During this period, benefits for former AbbVie Employees and AbbVie Former Employees shall be paid from the Non-U.S. Abbott Benefit Plan. Except as otherwise mutually agreed upon by the Parties, the ultimate transfer amount shall be reduced by the amount of these benefits and credited or debited by the actual investment earnings or losses from the payment date to the assessment date set by Abbott above. Any third party fees, costs or expenses incurred under the applicable Non-U.S. Abbott Benefit Plan during the period from the establishment of the Non-U.S. AbbVie Benefit Plan to the assessment date set by Abbott shall be shared by the Parties based on the proportion of Liabilities borne by the applicable Non-U.S. Abbott Benefit Plan and the applicable Non-U.S. AbbVie Benefit Plan. The Parties agree to use commercially reasonable efforts to accomplish each transfer as soon as practicable following the establishment of the Non-U.S. AbbVie Benefit Plan and to cooperate with each other to make such filings and disclosures and obtain such approvals as may be deemed necessary or advisable in accordance with applicable Law. Such transfers and any actuarial assumptions shall be subject to such minimum consents, approvals and other legal requirements as may apply under applicable Law, including, if required, the consent of any affected plan participant or any other third party.</w:t>
      </w:r>
    </w:p>
    <w:p>
      <w:pPr>
        <w:spacing w:after="0" w:line="161" w:lineRule="exact"/>
        <w:rPr>
          <w:sz w:val="20"/>
          <w:szCs w:val="20"/>
          <w:color w:val="auto"/>
        </w:rPr>
      </w:pPr>
    </w:p>
    <w:p>
      <w:pPr>
        <w:ind w:right="60" w:firstLine="1263"/>
        <w:spacing w:after="0" w:line="289" w:lineRule="auto"/>
        <w:tabs>
          <w:tab w:leader="none" w:pos="1895" w:val="left"/>
        </w:tabs>
        <w:numPr>
          <w:ilvl w:val="1"/>
          <w:numId w:val="150"/>
        </w:numPr>
        <w:rPr>
          <w:rFonts w:ascii="Arial" w:cs="Arial" w:eastAsia="Arial" w:hAnsi="Arial"/>
          <w:sz w:val="17"/>
          <w:szCs w:val="17"/>
          <w:color w:val="auto"/>
        </w:rPr>
      </w:pPr>
      <w:r>
        <w:rPr>
          <w:rFonts w:ascii="Arial" w:cs="Arial" w:eastAsia="Arial" w:hAnsi="Arial"/>
          <w:sz w:val="17"/>
          <w:szCs w:val="17"/>
          <w:i w:val="1"/>
          <w:iCs w:val="1"/>
          <w:color w:val="auto"/>
        </w:rPr>
        <w:t>Non-U.S. Abbott Retirement Plan Provisions</w:t>
      </w:r>
      <w:r>
        <w:rPr>
          <w:rFonts w:ascii="Arial" w:cs="Arial" w:eastAsia="Arial" w:hAnsi="Arial"/>
          <w:sz w:val="17"/>
          <w:szCs w:val="17"/>
          <w:color w:val="auto"/>
        </w:rPr>
        <w:t>. Each Non-U.S. Abbott Benefit Plan described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4.02(a)</w:t>
      </w:r>
      <w:r>
        <w:rPr>
          <w:rFonts w:ascii="Arial" w:cs="Arial" w:eastAsia="Arial" w:hAnsi="Arial"/>
          <w:sz w:val="17"/>
          <w:szCs w:val="17"/>
          <w:i w:val="1"/>
          <w:iCs w:val="1"/>
          <w:color w:val="auto"/>
        </w:rPr>
        <w:t xml:space="preserve"> </w:t>
      </w:r>
      <w:r>
        <w:rPr>
          <w:rFonts w:ascii="Arial" w:cs="Arial" w:eastAsia="Arial" w:hAnsi="Arial"/>
          <w:sz w:val="17"/>
          <w:szCs w:val="17"/>
          <w:color w:val="auto"/>
        </w:rPr>
        <w:t>shall provide,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this Agreement that:</w:t>
      </w:r>
    </w:p>
    <w:p>
      <w:pPr>
        <w:spacing w:after="0" w:line="158" w:lineRule="exact"/>
        <w:rPr>
          <w:rFonts w:ascii="Arial" w:cs="Arial" w:eastAsia="Arial" w:hAnsi="Arial"/>
          <w:sz w:val="17"/>
          <w:szCs w:val="17"/>
          <w:color w:val="auto"/>
        </w:rPr>
      </w:pPr>
    </w:p>
    <w:p>
      <w:pPr>
        <w:ind w:left="640" w:right="120" w:firstLine="1253"/>
        <w:spacing w:after="0" w:line="273" w:lineRule="auto"/>
        <w:tabs>
          <w:tab w:leader="none" w:pos="2548" w:val="left"/>
        </w:tabs>
        <w:numPr>
          <w:ilvl w:val="2"/>
          <w:numId w:val="150"/>
        </w:numPr>
        <w:rPr>
          <w:rFonts w:ascii="Arial" w:cs="Arial" w:eastAsia="Arial" w:hAnsi="Arial"/>
          <w:sz w:val="17"/>
          <w:szCs w:val="17"/>
          <w:color w:val="auto"/>
        </w:rPr>
      </w:pPr>
      <w:r>
        <w:rPr>
          <w:rFonts w:ascii="Arial" w:cs="Arial" w:eastAsia="Arial" w:hAnsi="Arial"/>
          <w:sz w:val="17"/>
          <w:szCs w:val="17"/>
          <w:color w:val="auto"/>
        </w:rPr>
        <w:t>AbbVie Employees shall (A) be eligible to participate in the Non-U.S. Abbott Benefit Plan to the extent they were eligible to participate in such plan immediately prior to the Distribution Date, and (B) receive credit for vesting, eligibility and benefit service for all service with AbbVie during the shared plan period as if that service had been rendered to Abbott;</w:t>
      </w:r>
    </w:p>
    <w:p>
      <w:pPr>
        <w:spacing w:after="0" w:line="171" w:lineRule="exact"/>
        <w:rPr>
          <w:rFonts w:ascii="Arial" w:cs="Arial" w:eastAsia="Arial" w:hAnsi="Arial"/>
          <w:sz w:val="17"/>
          <w:szCs w:val="17"/>
          <w:color w:val="auto"/>
        </w:rPr>
      </w:pPr>
    </w:p>
    <w:p>
      <w:pPr>
        <w:ind w:left="640" w:right="240" w:firstLine="1253"/>
        <w:spacing w:after="0" w:line="273" w:lineRule="auto"/>
        <w:tabs>
          <w:tab w:leader="none" w:pos="2558" w:val="left"/>
        </w:tabs>
        <w:numPr>
          <w:ilvl w:val="2"/>
          <w:numId w:val="150"/>
        </w:numPr>
        <w:rPr>
          <w:rFonts w:ascii="Arial" w:cs="Arial" w:eastAsia="Arial" w:hAnsi="Arial"/>
          <w:sz w:val="17"/>
          <w:szCs w:val="17"/>
          <w:color w:val="auto"/>
        </w:rPr>
      </w:pPr>
      <w:r>
        <w:rPr>
          <w:rFonts w:ascii="Arial" w:cs="Arial" w:eastAsia="Arial" w:hAnsi="Arial"/>
          <w:sz w:val="17"/>
          <w:szCs w:val="17"/>
          <w:color w:val="auto"/>
        </w:rPr>
        <w:t>the compensation paid by the AbbVie Group to an AbbVie Employee during the shared plan period shall be credited and recognized for all applicable purposes under the corresponding Non-U.S. Abbott Benefit Plan as though it were compensation from the Abbott Group; and</w:t>
      </w:r>
    </w:p>
    <w:p>
      <w:pPr>
        <w:spacing w:after="0" w:line="171" w:lineRule="exact"/>
        <w:rPr>
          <w:rFonts w:ascii="Arial" w:cs="Arial" w:eastAsia="Arial" w:hAnsi="Arial"/>
          <w:sz w:val="17"/>
          <w:szCs w:val="17"/>
          <w:color w:val="auto"/>
        </w:rPr>
      </w:pPr>
    </w:p>
    <w:p>
      <w:pPr>
        <w:ind w:left="640" w:right="80" w:firstLine="1253"/>
        <w:spacing w:after="0" w:line="326" w:lineRule="auto"/>
        <w:tabs>
          <w:tab w:leader="none" w:pos="2567" w:val="left"/>
        </w:tabs>
        <w:numPr>
          <w:ilvl w:val="2"/>
          <w:numId w:val="150"/>
        </w:numPr>
        <w:rPr>
          <w:rFonts w:ascii="Arial" w:cs="Arial" w:eastAsia="Arial" w:hAnsi="Arial"/>
          <w:sz w:val="15"/>
          <w:szCs w:val="15"/>
          <w:color w:val="auto"/>
        </w:rPr>
      </w:pPr>
      <w:r>
        <w:rPr>
          <w:rFonts w:ascii="Arial" w:cs="Arial" w:eastAsia="Arial" w:hAnsi="Arial"/>
          <w:sz w:val="15"/>
          <w:szCs w:val="15"/>
          <w:color w:val="auto"/>
        </w:rPr>
        <w:t>the accrued benefit of each AbbVie Employee under the Non-U.S. Abbott Benefit Plan shall be paid at the time and in a form provided under such plan, with employment by the AbbVie Group during the shared plan period treated as employment by the Abbott Group under the Non-U.S. Abbott Benefit Plan for purposes of determining eligibility for optional forms of benefit, early retirement benefits, or other benefit forms.</w:t>
      </w:r>
    </w:p>
    <w:p>
      <w:pPr>
        <w:spacing w:after="0" w:line="136" w:lineRule="exact"/>
        <w:rPr>
          <w:rFonts w:ascii="Arial" w:cs="Arial" w:eastAsia="Arial" w:hAnsi="Arial"/>
          <w:sz w:val="15"/>
          <w:szCs w:val="15"/>
          <w:color w:val="auto"/>
        </w:rPr>
      </w:pPr>
    </w:p>
    <w:p>
      <w:pPr>
        <w:ind w:left="1900" w:hanging="637"/>
        <w:spacing w:after="0"/>
        <w:tabs>
          <w:tab w:leader="none" w:pos="1900"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Subsequent Transfers</w:t>
      </w:r>
      <w:r>
        <w:rPr>
          <w:rFonts w:ascii="Arial" w:cs="Arial" w:eastAsia="Arial" w:hAnsi="Arial"/>
          <w:sz w:val="16"/>
          <w:szCs w:val="16"/>
          <w:color w:val="auto"/>
        </w:rPr>
        <w:t>. Periodically, at such times as agreed upon by the Parties after the initial transfer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4.02(a)</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jc w:val="both"/>
        <w:ind w:right="300" w:firstLine="5"/>
        <w:spacing w:after="0" w:line="343" w:lineRule="auto"/>
        <w:tabs>
          <w:tab w:leader="none" w:pos="19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AbbVie shall cause the applicable Non-U.S. AbbVie Benefit Plan to receive Assets and assume all Liabilities under the applicable Non-U.S. Abbott Benefit Plan for Post-Distribution AbbVie Employees and other Employees who cease to be employed by Abbott after the Distribution Date and become employed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 xml:space="preserve">AbbVie during the Transition Period (including Assets and Liabilities in respect of beneficiaries and/or alternate payees) and the applicable Non-U.S. Abbott Benefit Plan shall transfer all such Assets and be relieved of such Liabilities, and (ii) Abbott shall cause the applicable Non-U.S. Abbott Benefit Plan to receive Assets and assume all Liabilities under the applicable Non-U.S. AbbVie Benefit Plan for Employees who cease to be employed by AbbVie after the Distribution Date and become employed by Abbott during the Transition Period (including Assets and Liabilities in respect of beneficiaries and/or alternate payees) and the applicable Non-U.S. AbbVie Benefit Plan shall transfer all such Assets and be relieved of such Liabilities. The amount of such Assets to be transferred shall be determined as provided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 shall be subject to the applicable provisions of </w:t>
      </w:r>
      <w:r>
        <w:rPr>
          <w:rFonts w:ascii="Arial" w:cs="Arial" w:eastAsia="Arial" w:hAnsi="Arial"/>
          <w:sz w:val="16"/>
          <w:szCs w:val="16"/>
          <w:u w:val="single" w:color="auto"/>
          <w:color w:val="auto"/>
        </w:rPr>
        <w:t>Section 4.02(a)</w:t>
      </w:r>
      <w:r>
        <w:rPr>
          <w:rFonts w:ascii="Arial" w:cs="Arial" w:eastAsia="Arial" w:hAnsi="Arial"/>
          <w:sz w:val="16"/>
          <w:szCs w:val="16"/>
          <w:color w:val="auto"/>
        </w:rPr>
        <w: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Overseas Managers Pension Plan and Territorial Pension Plan</w:t>
      </w:r>
      <w:r>
        <w:rPr>
          <w:rFonts w:ascii="Arial" w:cs="Arial" w:eastAsia="Arial" w:hAnsi="Arial"/>
          <w:sz w:val="17"/>
          <w:szCs w:val="17"/>
          <w:color w:val="auto"/>
        </w:rPr>
        <w:t>.</w:t>
      </w:r>
    </w:p>
    <w:p>
      <w:pPr>
        <w:spacing w:after="0" w:line="224" w:lineRule="exact"/>
        <w:rPr>
          <w:sz w:val="20"/>
          <w:szCs w:val="20"/>
          <w:color w:val="auto"/>
        </w:rPr>
      </w:pPr>
    </w:p>
    <w:p>
      <w:pPr>
        <w:ind w:right="240" w:firstLine="1263"/>
        <w:spacing w:after="0" w:line="322" w:lineRule="auto"/>
        <w:tabs>
          <w:tab w:leader="none" w:pos="1898"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Establishment of AbbVie OMPP and AbbVie TPP</w:t>
      </w:r>
      <w:r>
        <w:rPr>
          <w:rFonts w:ascii="Arial" w:cs="Arial" w:eastAsia="Arial" w:hAnsi="Arial"/>
          <w:sz w:val="16"/>
          <w:szCs w:val="16"/>
          <w:color w:val="auto"/>
        </w:rPr>
        <w:t>. Effective as of or before the Distribution Date, AbbVie shall establish the AbbVie</w:t>
      </w:r>
      <w:r>
        <w:rPr>
          <w:rFonts w:ascii="Arial" w:cs="Arial" w:eastAsia="Arial" w:hAnsi="Arial"/>
          <w:sz w:val="16"/>
          <w:szCs w:val="16"/>
          <w:i w:val="1"/>
          <w:iCs w:val="1"/>
          <w:color w:val="auto"/>
        </w:rPr>
        <w:t xml:space="preserve"> </w:t>
      </w:r>
      <w:r>
        <w:rPr>
          <w:rFonts w:ascii="Arial" w:cs="Arial" w:eastAsia="Arial" w:hAnsi="Arial"/>
          <w:sz w:val="16"/>
          <w:szCs w:val="16"/>
          <w:color w:val="auto"/>
        </w:rPr>
        <w:t>OMPP and the AbbVie TPP, with terms substantially similar to those of the Abbott OMPP or the Abbott TPP, as applicable, as of the Distribution Date.</w:t>
      </w:r>
    </w:p>
    <w:p>
      <w:pPr>
        <w:spacing w:after="0" w:line="135" w:lineRule="exact"/>
        <w:rPr>
          <w:rFonts w:ascii="Arial" w:cs="Arial" w:eastAsia="Arial" w:hAnsi="Arial"/>
          <w:sz w:val="16"/>
          <w:szCs w:val="16"/>
          <w:color w:val="auto"/>
        </w:rPr>
      </w:pPr>
    </w:p>
    <w:p>
      <w:pPr>
        <w:ind w:right="340" w:firstLine="1263"/>
        <w:spacing w:after="0" w:line="322" w:lineRule="auto"/>
        <w:tabs>
          <w:tab w:leader="none" w:pos="1895"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OMPP and TPP Liabilities</w:t>
      </w:r>
      <w:r>
        <w:rPr>
          <w:rFonts w:ascii="Arial" w:cs="Arial" w:eastAsia="Arial" w:hAnsi="Arial"/>
          <w:sz w:val="16"/>
          <w:szCs w:val="16"/>
          <w:color w:val="auto"/>
        </w:rPr>
        <w:t>. AbbVie shall, and shall cause the AbbVie OMPP and the AbbVie TPP to, assume all Liabilities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the Abbott OMPP or the Abbott TPP, as applicable, for the benefits for Transferred Employees, and Abbott and the Abbott OMPP and the</w:t>
      </w:r>
    </w:p>
    <w:p>
      <w:pPr>
        <w:sectPr>
          <w:pgSz w:w="11900" w:h="16893" w:orient="portrait"/>
          <w:cols w:equalWidth="0" w:num="1">
            <w:col w:w="11400"/>
          </w:cols>
          <w:pgMar w:left="240" w:top="127" w:right="259" w:bottom="0" w:gutter="0" w:footer="0" w:header="0"/>
        </w:sectPr>
      </w:pPr>
    </w:p>
    <w:bookmarkStart w:id="59" w:name="page60"/>
    <w:bookmarkEnd w:id="59"/>
    <w:p>
      <w:pPr>
        <w:ind w:right="80"/>
        <w:spacing w:after="0" w:line="273" w:lineRule="auto"/>
        <w:rPr>
          <w:sz w:val="20"/>
          <w:szCs w:val="20"/>
          <w:color w:val="auto"/>
        </w:rPr>
      </w:pPr>
      <w:r>
        <w:rPr>
          <w:rFonts w:ascii="Arial" w:cs="Arial" w:eastAsia="Arial" w:hAnsi="Arial"/>
          <w:sz w:val="17"/>
          <w:szCs w:val="17"/>
          <w:color w:val="auto"/>
        </w:rPr>
        <w:t>Abbott TPP shall be relieved of all Liabilities for those benefits. Abbott shall retain the Liabilities for all obligations under the Abbott OMPP and the Abbott TPP for the benefits for Abbott Retained Employees and Former Employees, but shall share with AbbVie the cost of benefits provided to Former Employees in accordance with procedures mutually agreed to by the Parties.</w:t>
      </w:r>
    </w:p>
    <w:p>
      <w:pPr>
        <w:spacing w:after="0" w:line="172" w:lineRule="exact"/>
        <w:rPr>
          <w:sz w:val="20"/>
          <w:szCs w:val="20"/>
          <w:color w:val="auto"/>
        </w:rPr>
      </w:pPr>
    </w:p>
    <w:p>
      <w:pPr>
        <w:ind w:left="1900" w:hanging="637"/>
        <w:spacing w:after="0"/>
        <w:tabs>
          <w:tab w:leader="none" w:pos="190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AbbVie OMPP and AbbVie TPP as of the Distribution Date</w:t>
      </w:r>
      <w:r>
        <w:rPr>
          <w:rFonts w:ascii="Arial" w:cs="Arial" w:eastAsia="Arial" w:hAnsi="Arial"/>
          <w:sz w:val="16"/>
          <w:szCs w:val="16"/>
          <w:color w:val="auto"/>
        </w:rPr>
        <w:t>. As of the Distribution Date, the AbbVie OMPP and the AbbVie TPP shall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provide that:</w:t>
      </w:r>
    </w:p>
    <w:p>
      <w:pPr>
        <w:spacing w:after="0" w:line="212" w:lineRule="exact"/>
        <w:rPr>
          <w:sz w:val="20"/>
          <w:szCs w:val="20"/>
          <w:color w:val="auto"/>
        </w:rPr>
      </w:pPr>
    </w:p>
    <w:p>
      <w:pPr>
        <w:ind w:left="640" w:right="240" w:firstLine="1253"/>
        <w:spacing w:after="0" w:line="273" w:lineRule="auto"/>
        <w:tabs>
          <w:tab w:leader="none" w:pos="254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Transferred Employees who are participants in the AbbVie OMPP or the AbbVie TPP, as applicable, shall receive credit for vesting, eligibility, and benefit service for all service credited for those purposes under the Abbott OMPP or the Abbott TPP, as applicable, as if that service had been rendered to AbbVie;</w:t>
      </w:r>
    </w:p>
    <w:p>
      <w:pPr>
        <w:spacing w:after="0" w:line="171" w:lineRule="exact"/>
        <w:rPr>
          <w:rFonts w:ascii="Arial" w:cs="Arial" w:eastAsia="Arial" w:hAnsi="Arial"/>
          <w:sz w:val="17"/>
          <w:szCs w:val="17"/>
          <w:color w:val="auto"/>
        </w:rPr>
      </w:pPr>
    </w:p>
    <w:p>
      <w:pPr>
        <w:ind w:left="640" w:right="100" w:firstLine="1253"/>
        <w:spacing w:after="0" w:line="273" w:lineRule="auto"/>
        <w:tabs>
          <w:tab w:leader="none" w:pos="255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compensation paid by the Abbott Group to a Transferred Employee which was recognized under the Abbott OMPP or the Abbott TPP shall be credited and recognized for all applicable purposes under the AbbVie OMPP or the AbbVie TPP, as applicable, as though it were compensation from the AbbVie Group; and</w:t>
      </w:r>
    </w:p>
    <w:p>
      <w:pPr>
        <w:spacing w:after="0" w:line="171" w:lineRule="exact"/>
        <w:rPr>
          <w:rFonts w:ascii="Arial" w:cs="Arial" w:eastAsia="Arial" w:hAnsi="Arial"/>
          <w:sz w:val="17"/>
          <w:szCs w:val="17"/>
          <w:color w:val="auto"/>
        </w:rPr>
      </w:pPr>
    </w:p>
    <w:p>
      <w:pPr>
        <w:ind w:left="640" w:right="420" w:firstLine="1253"/>
        <w:spacing w:after="0" w:line="289" w:lineRule="auto"/>
        <w:tabs>
          <w:tab w:leader="none" w:pos="256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following the Distribution Date, the AbbVie OMPP and the AbbVie TPP shall not be amended in any manner that would reduce the accrued benefit (including any early retirement subsidy) of any Transferred Employee.</w:t>
      </w:r>
    </w:p>
    <w:p>
      <w:pPr>
        <w:spacing w:after="0" w:line="158" w:lineRule="exact"/>
        <w:rPr>
          <w:sz w:val="20"/>
          <w:szCs w:val="20"/>
          <w:color w:val="auto"/>
        </w:rPr>
      </w:pPr>
    </w:p>
    <w:p>
      <w:pPr>
        <w:ind w:right="140" w:firstLine="1263"/>
        <w:spacing w:after="0" w:line="289" w:lineRule="auto"/>
        <w:tabs>
          <w:tab w:leader="none" w:pos="1895"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Abbott OMPP and Abbott TPP after Distribution Date</w:t>
      </w:r>
      <w:r>
        <w:rPr>
          <w:rFonts w:ascii="Arial" w:cs="Arial" w:eastAsia="Arial" w:hAnsi="Arial"/>
          <w:sz w:val="17"/>
          <w:szCs w:val="17"/>
          <w:color w:val="auto"/>
        </w:rPr>
        <w:t>. From and after the Distribution Date, no AbbVie Employees (other than Post-Distribution Transferred Employees) shall participate in or accrue any benefits under the Abbott OMPP or the Abbott TPP.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WELFARE AND FRINGE BENEFIT PLANS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U.S. Health and Welfare Plans</w:t>
      </w:r>
      <w:r>
        <w:rPr>
          <w:rFonts w:ascii="Arial" w:cs="Arial" w:eastAsia="Arial" w:hAnsi="Arial"/>
          <w:sz w:val="17"/>
          <w:szCs w:val="17"/>
          <w:color w:val="auto"/>
        </w:rPr>
        <w:t>.</w:t>
      </w:r>
    </w:p>
    <w:p>
      <w:pPr>
        <w:spacing w:after="0" w:line="224" w:lineRule="exact"/>
        <w:rPr>
          <w:sz w:val="20"/>
          <w:szCs w:val="20"/>
          <w:color w:val="auto"/>
        </w:rPr>
      </w:pPr>
    </w:p>
    <w:p>
      <w:pPr>
        <w:ind w:right="120" w:firstLine="1263"/>
        <w:spacing w:after="0" w:line="273" w:lineRule="auto"/>
        <w:tabs>
          <w:tab w:leader="none" w:pos="1898"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Establishment of AbbVie Health and Welfare Plans</w:t>
      </w:r>
      <w:r>
        <w:rPr>
          <w:rFonts w:ascii="Arial" w:cs="Arial" w:eastAsia="Arial" w:hAnsi="Arial"/>
          <w:sz w:val="17"/>
          <w:szCs w:val="17"/>
          <w:color w:val="auto"/>
        </w:rPr>
        <w:t>. Effective as of or before the Distribution Date, AbbVie shall establish the AbbVie</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Welfare Plans, with terms substantially similar to those of the corresponding Abbott Health and Welfare Plans as of the Distribution Date unless otherwise provided in this Article V.</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Waiver of Conditions; Benefit Maximums</w:t>
      </w:r>
      <w:r>
        <w:rPr>
          <w:rFonts w:ascii="Arial" w:cs="Arial" w:eastAsia="Arial" w:hAnsi="Arial"/>
          <w:sz w:val="16"/>
          <w:szCs w:val="16"/>
          <w:color w:val="auto"/>
        </w:rPr>
        <w:t>. AbbVie shall, to the extent commercially reasonable, cause the AbbVie Health and Welfare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Plans to:</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with respect to initial enrollment following the applicable Transfer Date, waive</w:t>
      </w:r>
    </w:p>
    <w:p>
      <w:pPr>
        <w:spacing w:after="0" w:line="224" w:lineRule="exact"/>
        <w:rPr>
          <w:rFonts w:ascii="Arial" w:cs="Arial" w:eastAsia="Arial" w:hAnsi="Arial"/>
          <w:sz w:val="17"/>
          <w:szCs w:val="17"/>
          <w:color w:val="auto"/>
        </w:rPr>
      </w:pPr>
    </w:p>
    <w:p>
      <w:pPr>
        <w:ind w:left="1260" w:firstLine="1262"/>
        <w:spacing w:after="0" w:line="268" w:lineRule="auto"/>
        <w:tabs>
          <w:tab w:leader="none" w:pos="3154" w:val="left"/>
        </w:tabs>
        <w:numPr>
          <w:ilvl w:val="2"/>
          <w:numId w:val="156"/>
        </w:numPr>
        <w:rPr>
          <w:rFonts w:ascii="Arial" w:cs="Arial" w:eastAsia="Arial" w:hAnsi="Arial"/>
          <w:sz w:val="17"/>
          <w:szCs w:val="17"/>
          <w:color w:val="auto"/>
        </w:rPr>
      </w:pPr>
      <w:r>
        <w:rPr>
          <w:rFonts w:ascii="Arial" w:cs="Arial" w:eastAsia="Arial" w:hAnsi="Arial"/>
          <w:sz w:val="17"/>
          <w:szCs w:val="17"/>
          <w:color w:val="auto"/>
        </w:rPr>
        <w:t>all limitations as to preexisting conditions, exclusions, and service conditions with respect to participation and coverage requirements applicable to any Transferred Employee or AbbVie LTD Participant, other than limitations that were in effect with respect to the Transferred Employee or the AbbVie LTD Participant under the applicable Abbott Health and Welfare Plan as of immediately prior to such individual’s Transfer Date, and</w:t>
      </w:r>
    </w:p>
    <w:p>
      <w:pPr>
        <w:spacing w:after="0" w:line="175" w:lineRule="exact"/>
        <w:rPr>
          <w:rFonts w:ascii="Arial" w:cs="Arial" w:eastAsia="Arial" w:hAnsi="Arial"/>
          <w:sz w:val="17"/>
          <w:szCs w:val="17"/>
          <w:color w:val="auto"/>
        </w:rPr>
      </w:pPr>
    </w:p>
    <w:p>
      <w:pPr>
        <w:jc w:val="both"/>
        <w:ind w:left="1260" w:firstLine="1262"/>
        <w:spacing w:after="0" w:line="273" w:lineRule="auto"/>
        <w:tabs>
          <w:tab w:leader="none" w:pos="3171" w:val="left"/>
        </w:tabs>
        <w:numPr>
          <w:ilvl w:val="2"/>
          <w:numId w:val="156"/>
        </w:numPr>
        <w:rPr>
          <w:rFonts w:ascii="Arial" w:cs="Arial" w:eastAsia="Arial" w:hAnsi="Arial"/>
          <w:sz w:val="17"/>
          <w:szCs w:val="17"/>
          <w:color w:val="auto"/>
        </w:rPr>
      </w:pPr>
      <w:r>
        <w:rPr>
          <w:rFonts w:ascii="Arial" w:cs="Arial" w:eastAsia="Arial" w:hAnsi="Arial"/>
          <w:sz w:val="17"/>
          <w:szCs w:val="17"/>
          <w:color w:val="auto"/>
        </w:rPr>
        <w:t>any waiting period limitation or evidence of insurability requirement applicable to a Transferred Employee or AbbVie LTD Participant other than limitations or requirements that were in effect with respect to such Transferred Employee or AbbVie LTD Participant under the applicable Abbott Health and Welfare Plan as of immediately prior to such individual’s Transfer Date; and</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take into account</w:t>
      </w:r>
    </w:p>
    <w:p>
      <w:pPr>
        <w:spacing w:after="0" w:line="224" w:lineRule="exact"/>
        <w:rPr>
          <w:rFonts w:ascii="Arial" w:cs="Arial" w:eastAsia="Arial" w:hAnsi="Arial"/>
          <w:sz w:val="17"/>
          <w:szCs w:val="17"/>
          <w:color w:val="auto"/>
        </w:rPr>
      </w:pPr>
    </w:p>
    <w:p>
      <w:pPr>
        <w:ind w:left="1260" w:right="280" w:firstLine="1262"/>
        <w:spacing w:after="0" w:line="273" w:lineRule="auto"/>
        <w:tabs>
          <w:tab w:leader="none" w:pos="3154" w:val="left"/>
        </w:tabs>
        <w:numPr>
          <w:ilvl w:val="2"/>
          <w:numId w:val="156"/>
        </w:numPr>
        <w:rPr>
          <w:rFonts w:ascii="Arial" w:cs="Arial" w:eastAsia="Arial" w:hAnsi="Arial"/>
          <w:sz w:val="17"/>
          <w:szCs w:val="17"/>
          <w:color w:val="auto"/>
        </w:rPr>
      </w:pPr>
      <w:r>
        <w:rPr>
          <w:rFonts w:ascii="Arial" w:cs="Arial" w:eastAsia="Arial" w:hAnsi="Arial"/>
          <w:sz w:val="17"/>
          <w:szCs w:val="17"/>
          <w:color w:val="auto"/>
        </w:rPr>
        <w:t>with respect to aggregate annual, lifetime, or similar maximum benefits available under the AbbVie Health and Welfare Plans, a Transferred Employee’s or AbbVie LTD Participant’s prior claim experience under the Abbott Health and Welfare Plans and any Benefit Plan that provides leave benefits; and</w:t>
      </w:r>
    </w:p>
    <w:p>
      <w:pPr>
        <w:spacing w:after="0" w:line="171" w:lineRule="exact"/>
        <w:rPr>
          <w:rFonts w:ascii="Arial" w:cs="Arial" w:eastAsia="Arial" w:hAnsi="Arial"/>
          <w:sz w:val="17"/>
          <w:szCs w:val="17"/>
          <w:color w:val="auto"/>
        </w:rPr>
      </w:pPr>
    </w:p>
    <w:p>
      <w:pPr>
        <w:ind w:left="1260" w:right="200" w:firstLine="1262"/>
        <w:spacing w:after="0" w:line="285" w:lineRule="auto"/>
        <w:tabs>
          <w:tab w:leader="none" w:pos="3171" w:val="left"/>
        </w:tabs>
        <w:numPr>
          <w:ilvl w:val="2"/>
          <w:numId w:val="156"/>
        </w:numPr>
        <w:rPr>
          <w:rFonts w:ascii="Arial" w:cs="Arial" w:eastAsia="Arial" w:hAnsi="Arial"/>
          <w:sz w:val="16"/>
          <w:szCs w:val="16"/>
          <w:color w:val="auto"/>
        </w:rPr>
      </w:pPr>
      <w:r>
        <w:rPr>
          <w:rFonts w:ascii="Arial" w:cs="Arial" w:eastAsia="Arial" w:hAnsi="Arial"/>
          <w:sz w:val="16"/>
          <w:szCs w:val="16"/>
          <w:color w:val="auto"/>
        </w:rPr>
        <w:t>any eligible expenses incurred by a Transferred Employee or AbbVie LTD Participant and his or her covered dependents during the portion of the plan year of the applicable Abbott Health and Welfare Plan ending on the applicable Transfer Date to be taken into account under such AbbVie Health and Welfare Plan for purposes of satisfying all deductible, coinsurance, and maximum out-of-pocket requirements applicable to such Transferred Employee or AbbVie LTD Participant and his or her covered dependents for the applicable plan year as if such amounts had been paid in accordance with such AbbVie Health and Welfare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63"/>
        <w:spacing w:after="0" w:line="290" w:lineRule="auto"/>
        <w:tabs>
          <w:tab w:leader="none" w:pos="1898"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Spousal Transition Issues. </w:t>
      </w:r>
      <w:r>
        <w:rPr>
          <w:rFonts w:ascii="Arial" w:cs="Arial" w:eastAsia="Arial" w:hAnsi="Arial"/>
          <w:sz w:val="16"/>
          <w:szCs w:val="16"/>
          <w:color w:val="auto"/>
        </w:rPr>
        <w:t>The Abbott Group and the AbbVie Group will cooperate to develop uniform guidelines intended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that, to the extent commercially practicable, from the Distribution Date through December 31, 2013, Employees who are married to each other or who are domestic partners as of the Distribution Date do not incur additional aggregate cost, or derive additional aggregate benefit, under the Health and Welfare Plans of the Parties solely because one such Employee is an Abbott Retained Employee and the other is a Transferred Employee.</w:t>
      </w:r>
    </w:p>
    <w:p>
      <w:pPr>
        <w:spacing w:after="0" w:line="159" w:lineRule="exact"/>
        <w:rPr>
          <w:rFonts w:ascii="Arial" w:cs="Arial" w:eastAsia="Arial" w:hAnsi="Arial"/>
          <w:sz w:val="16"/>
          <w:szCs w:val="16"/>
          <w:color w:val="auto"/>
        </w:rPr>
      </w:pPr>
    </w:p>
    <w:p>
      <w:pPr>
        <w:ind w:left="1900" w:hanging="637"/>
        <w:spacing w:after="0"/>
        <w:tabs>
          <w:tab w:leader="none" w:pos="1900"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Allocation of Health and Welfare Assets and Liabilities.</w:t>
      </w:r>
    </w:p>
    <w:p>
      <w:pPr>
        <w:spacing w:after="0" w:line="224" w:lineRule="exact"/>
        <w:rPr>
          <w:rFonts w:ascii="Arial" w:cs="Arial" w:eastAsia="Arial" w:hAnsi="Arial"/>
          <w:sz w:val="17"/>
          <w:szCs w:val="17"/>
          <w:color w:val="auto"/>
        </w:rPr>
      </w:pPr>
    </w:p>
    <w:p>
      <w:pPr>
        <w:ind w:left="640" w:right="100" w:firstLine="1253"/>
        <w:spacing w:after="0" w:line="265" w:lineRule="auto"/>
        <w:tabs>
          <w:tab w:leader="none" w:pos="2548"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General Principles. </w:t>
      </w:r>
      <w:r>
        <w:rPr>
          <w:rFonts w:ascii="Arial" w:cs="Arial" w:eastAsia="Arial" w:hAnsi="Arial"/>
          <w:sz w:val="17"/>
          <w:szCs w:val="17"/>
          <w:color w:val="auto"/>
        </w:rPr>
        <w:t>Except as otherwise specifically provided in this Agreement, Abbott shall retain all Liabilities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Claims under the Abbott Health and Welfare Plans, and shall also retain Assets (including, without limitation, Medicare reimbursements, pharmaceutical rebates, and similar items) associated with such Incurred Claims. AbbVie shall be responsible for all Liabilities relating to Incurred Claims under any AbbVie Health and Welfare Plan and shall also retain Assets (including, without limitation, Medicare reimbursements, pharmaceutical rebates, and similar items) associated with such Incurred Claims.</w:t>
      </w:r>
    </w:p>
    <w:p>
      <w:pPr>
        <w:sectPr>
          <w:pgSz w:w="11900" w:h="16838" w:orient="portrait"/>
          <w:cols w:equalWidth="0" w:num="1">
            <w:col w:w="11420"/>
          </w:cols>
          <w:pgMar w:left="240" w:top="127" w:right="239" w:bottom="70" w:gutter="0" w:footer="0" w:header="0"/>
        </w:sectPr>
      </w:pPr>
    </w:p>
    <w:bookmarkStart w:id="60" w:name="page61"/>
    <w:bookmarkEnd w:id="60"/>
    <w:p>
      <w:pPr>
        <w:ind w:left="640" w:right="40" w:firstLine="1253"/>
        <w:spacing w:after="0" w:line="290" w:lineRule="auto"/>
        <w:tabs>
          <w:tab w:leader="none" w:pos="2558"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Disability Benefits</w:t>
      </w:r>
      <w:r>
        <w:rPr>
          <w:rFonts w:ascii="Arial" w:cs="Arial" w:eastAsia="Arial" w:hAnsi="Arial"/>
          <w:sz w:val="16"/>
          <w:szCs w:val="16"/>
          <w:color w:val="auto"/>
        </w:rPr>
        <w:t>. Notwithstanding any other provision hereof, Abbott shall be responsible for Incurred Claims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benefit payments) of Abbott Retained Employees and Abbott Former Employees for short- and long-term disability benefits, regardless of when the applicable Incurred Claim was incurred, and AbbVie shall be responsible for Incurred Claims (including ongoing benefit payments) of AbbVie Employees and AbbVie Former Employees for short- and long-term disability benefits, regardless of when the applicable Incurred Claim was incurred.</w:t>
      </w:r>
    </w:p>
    <w:p>
      <w:pPr>
        <w:spacing w:after="0" w:line="159" w:lineRule="exact"/>
        <w:rPr>
          <w:rFonts w:ascii="Arial" w:cs="Arial" w:eastAsia="Arial" w:hAnsi="Arial"/>
          <w:sz w:val="16"/>
          <w:szCs w:val="16"/>
          <w:color w:val="auto"/>
        </w:rPr>
      </w:pPr>
    </w:p>
    <w:p>
      <w:pPr>
        <w:ind w:left="2560" w:hanging="667"/>
        <w:spacing w:after="0"/>
        <w:tabs>
          <w:tab w:leader="none" w:pos="2560"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Flexible Spending Accounts</w:t>
      </w:r>
      <w:r>
        <w:rPr>
          <w:rFonts w:ascii="Arial" w:cs="Arial" w:eastAsia="Arial" w:hAnsi="Arial"/>
          <w:sz w:val="16"/>
          <w:szCs w:val="16"/>
          <w:color w:val="auto"/>
        </w:rPr>
        <w:t>. The Parties shall take all actions necessary to ensure that, effective as of the Distribution Date,</w:t>
      </w:r>
    </w:p>
    <w:p>
      <w:pPr>
        <w:spacing w:after="0" w:line="37" w:lineRule="exact"/>
        <w:rPr>
          <w:rFonts w:ascii="Arial" w:cs="Arial" w:eastAsia="Arial" w:hAnsi="Arial"/>
          <w:sz w:val="16"/>
          <w:szCs w:val="16"/>
          <w:color w:val="auto"/>
        </w:rPr>
      </w:pPr>
    </w:p>
    <w:p>
      <w:pPr>
        <w:ind w:left="640" w:right="20" w:hanging="6"/>
        <w:spacing w:after="0" w:line="276" w:lineRule="auto"/>
        <w:tabs>
          <w:tab w:leader="none" w:pos="92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health care and dependent care flexible spending accounts of Transferred Employees (whether positive or negative) (the “</w:t>
      </w:r>
      <w:r>
        <w:rPr>
          <w:rFonts w:ascii="Arial" w:cs="Arial" w:eastAsia="Arial" w:hAnsi="Arial"/>
          <w:sz w:val="16"/>
          <w:szCs w:val="16"/>
          <w:u w:val="single" w:color="auto"/>
          <w:color w:val="auto"/>
        </w:rPr>
        <w:t>Transferred Flexible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Spending Account Balances</w:t>
      </w:r>
      <w:r>
        <w:rPr>
          <w:rFonts w:ascii="Arial" w:cs="Arial" w:eastAsia="Arial" w:hAnsi="Arial"/>
          <w:sz w:val="16"/>
          <w:szCs w:val="16"/>
          <w:color w:val="auto"/>
        </w:rPr>
        <w:t>”) under the applicable Abbott Health and Welfare Plan shall be transferred to the corresponding AbbVie Health and Welfare Plan; (B) the elections, contribution levels and coverage of the applicable Transferred Employees shall apply under the AbbVie Health and Welfare Plan in the same manner as under the corresponding Abbott Health and Welfare Plan; and (C) the applicable Transferred Employees shall be eligible for reimbursement from the AbbVie Health and Welfare Plan on the same basis and the same terms and conditions as under the corresponding Abbott Health and Welfare Plan. As soon as practicable after the Distribution Date, and in any event within 30 business days after the amount of the Transferred Flexible Spending Account Balances is determined, Abbott shall pay AbbVie the net aggregate amount of the Transferred Flexible Spending Account Balances, if such amount is positive, and AbbVie shall pay Abbott the net aggregate amount of the Transferred Flexible Spending Account Balances, if such amount is negative. With respect to Transferred Employees whose Transfer Date occurs after the Distribution Date, the Parties shall cooperate in good faith to provide for transfers and/or reimbursement after the applicable Transfer Date with respect to the health care and dependent care flexible spending accounts of such Transferred Employees in accordance with procedures mutually agreed to by the Parties.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firstLine="1253"/>
        <w:spacing w:after="0" w:line="263" w:lineRule="auto"/>
        <w:tabs>
          <w:tab w:leader="none" w:pos="2544" w:val="left"/>
        </w:tabs>
        <w:numPr>
          <w:ilvl w:val="1"/>
          <w:numId w:val="160"/>
        </w:numPr>
        <w:rPr>
          <w:rFonts w:ascii="Arial" w:cs="Arial" w:eastAsia="Arial" w:hAnsi="Arial"/>
          <w:sz w:val="17"/>
          <w:szCs w:val="17"/>
          <w:color w:val="auto"/>
        </w:rPr>
      </w:pPr>
      <w:r>
        <w:rPr>
          <w:rFonts w:ascii="Arial" w:cs="Arial" w:eastAsia="Arial" w:hAnsi="Arial"/>
          <w:sz w:val="17"/>
          <w:szCs w:val="17"/>
          <w:i w:val="1"/>
          <w:iCs w:val="1"/>
          <w:color w:val="auto"/>
        </w:rPr>
        <w:t>Retiree Health Care Plan and Retiree Life Insurance Plan</w:t>
      </w:r>
      <w:r>
        <w:rPr>
          <w:rFonts w:ascii="Arial" w:cs="Arial" w:eastAsia="Arial" w:hAnsi="Arial"/>
          <w:sz w:val="17"/>
          <w:szCs w:val="17"/>
          <w:color w:val="auto"/>
        </w:rPr>
        <w:t>. Notwithstanding any other provision hereof, Abbott shall retain</w:t>
      </w:r>
      <w:r>
        <w:rPr>
          <w:rFonts w:ascii="Arial" w:cs="Arial" w:eastAsia="Arial" w:hAnsi="Arial"/>
          <w:sz w:val="17"/>
          <w:szCs w:val="17"/>
          <w:i w:val="1"/>
          <w:iCs w:val="1"/>
          <w:color w:val="auto"/>
        </w:rPr>
        <w:t xml:space="preserve"> </w:t>
      </w:r>
      <w:r>
        <w:rPr>
          <w:rFonts w:ascii="Arial" w:cs="Arial" w:eastAsia="Arial" w:hAnsi="Arial"/>
          <w:sz w:val="17"/>
          <w:szCs w:val="17"/>
          <w:color w:val="auto"/>
        </w:rPr>
        <w:t>the Liabilities and responsibility for all obligations under the Abbott Retiree Health Care Plan and the Abbott Retiree Life Insurance Plan for benefits due to Abbott Retained Employees and Former Employees (other than AbbVie LTD Participants), and shall also retain Assets, including, without limitation, Medicare reimbursements, pharmaceutical rebates, and similar items, associated with such benefits, but shall share with AbbVie the cost of benefits provided to Former Employees (other than LTD Participants) under the Abbott Retiree Health Care Plan and the Abbott Retiree Life Insurance Plan in accordance with procedures mutually agreed to by the Parties.</w:t>
      </w:r>
    </w:p>
    <w:p>
      <w:pPr>
        <w:spacing w:after="0" w:line="183" w:lineRule="exact"/>
        <w:rPr>
          <w:rFonts w:ascii="Arial" w:cs="Arial" w:eastAsia="Arial" w:hAnsi="Arial"/>
          <w:sz w:val="17"/>
          <w:szCs w:val="17"/>
          <w:color w:val="auto"/>
        </w:rPr>
      </w:pPr>
    </w:p>
    <w:p>
      <w:pPr>
        <w:ind w:right="220" w:firstLine="1263"/>
        <w:spacing w:after="0" w:line="289" w:lineRule="auto"/>
        <w:tabs>
          <w:tab w:leader="none" w:pos="1898"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Abbott Health and Welfare Plans after Distribution Date</w:t>
      </w:r>
      <w:r>
        <w:rPr>
          <w:rFonts w:ascii="Arial" w:cs="Arial" w:eastAsia="Arial" w:hAnsi="Arial"/>
          <w:sz w:val="17"/>
          <w:szCs w:val="17"/>
          <w:color w:val="auto"/>
        </w:rPr>
        <w:t>. Transferred Employees shall cease to participate in the Abbott Health and</w:t>
      </w:r>
      <w:r>
        <w:rPr>
          <w:rFonts w:ascii="Arial" w:cs="Arial" w:eastAsia="Arial" w:hAnsi="Arial"/>
          <w:sz w:val="17"/>
          <w:szCs w:val="17"/>
          <w:i w:val="1"/>
          <w:iCs w:val="1"/>
          <w:color w:val="auto"/>
        </w:rPr>
        <w:t xml:space="preserve"> </w:t>
      </w:r>
      <w:r>
        <w:rPr>
          <w:rFonts w:ascii="Arial" w:cs="Arial" w:eastAsia="Arial" w:hAnsi="Arial"/>
          <w:sz w:val="17"/>
          <w:szCs w:val="17"/>
          <w:color w:val="auto"/>
        </w:rPr>
        <w:t>Welfare Plans effective as of their respective Transfer Dates.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401(h) Account</w:t>
      </w:r>
      <w:r>
        <w:rPr>
          <w:rFonts w:ascii="Arial" w:cs="Arial" w:eastAsia="Arial" w:hAnsi="Arial"/>
          <w:sz w:val="17"/>
          <w:szCs w:val="17"/>
          <w:color w:val="auto"/>
        </w:rPr>
        <w:t>. Abbott shall retain all Assets associated with the 401(h) account associated with the Abbott ARP.</w:t>
      </w:r>
    </w:p>
    <w:p>
      <w:pPr>
        <w:spacing w:after="0" w:line="224" w:lineRule="exact"/>
        <w:rPr>
          <w:sz w:val="20"/>
          <w:szCs w:val="20"/>
          <w:color w:val="auto"/>
        </w:rPr>
      </w:pPr>
    </w:p>
    <w:p>
      <w:pPr>
        <w:ind w:right="160" w:firstLine="629"/>
        <w:spacing w:after="0" w:line="28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COBRA and HIPAA</w:t>
      </w:r>
      <w:r>
        <w:rPr>
          <w:rFonts w:ascii="Arial" w:cs="Arial" w:eastAsia="Arial" w:hAnsi="Arial"/>
          <w:sz w:val="16"/>
          <w:szCs w:val="16"/>
          <w:color w:val="auto"/>
        </w:rPr>
        <w:t>. Abbott shall continue to be responsible for compliance with the health care continuation requirements of COBRA, the certificate of creditable coverage requirements of HIPAA, and the corresponding provisions of the Abbott Health and Welfare Plans with respect to any</w:t>
      </w:r>
    </w:p>
    <w:p>
      <w:pPr>
        <w:spacing w:after="0" w:line="1" w:lineRule="exact"/>
        <w:rPr>
          <w:sz w:val="20"/>
          <w:szCs w:val="20"/>
          <w:color w:val="auto"/>
        </w:rPr>
      </w:pPr>
    </w:p>
    <w:p>
      <w:pPr>
        <w:ind w:firstLine="5"/>
        <w:spacing w:after="0" w:line="278" w:lineRule="auto"/>
        <w:tabs>
          <w:tab w:leader="none" w:pos="22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Abbott Retained Employees and any Former Employees (and their covered dependents) who incur a qualifying event under COBRA on, prior to, or following the Distribution Date, (b) any AbbVie Employees who do not become Transferred Employees (and their covered dependents) who incur a qualifying event under COBRA on, prior to, or following the Distribution Date, and (c) any other AbbVie Employees (and their covered dependents), with respect to qualifying events under COBRA incurred prior to or on the applicable Transfer Date. AbbVie shall assume responsibility for compliance with the health care continuation requirements of COBRA, the certificate of creditable coverage requirements of HIPAA, and the corresponding provisions of the AbbVie Health and Welfare Plans with respect to any Transferred Employees (and their covered dependents) who incur a qualifying event or loss of coverage under the Abbott Health and Welfare Plans and/or the AbbVie Health and Welfare Plans after their respective Transfer Dates. The Parties agree that the consummation of the transactions contemplated by the Separation and Distribution Agreement shall not constitute a COBRA qualifying event for any purpose of COBRA.</w:t>
      </w:r>
    </w:p>
    <w:p>
      <w:pPr>
        <w:spacing w:after="0" w:line="171"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U.S. Life Insurance Trust</w:t>
      </w:r>
      <w:r>
        <w:rPr>
          <w:rFonts w:ascii="Arial" w:cs="Arial" w:eastAsia="Arial" w:hAnsi="Arial"/>
          <w:sz w:val="17"/>
          <w:szCs w:val="17"/>
          <w:color w:val="auto"/>
        </w:rPr>
        <w:t>. Effective as of the Distribution Date, AbbVie shall establish the AbbVie Life Insurance Trust and shall take all actions reasonably necessary to ensure that the AbbVie Life Insurance Trust satisfies the requirements of Code Section 501(c)(9) and is exempt from taxation under Code Section 501(a), including, but not limited to, filing any required determination letter filing with the Internal Revenue Service. Effective as of the Distribution Date, after making appropriate adjustment for any incurred but not reported claims payable from the Abbott Life Insurance Trust, Abbott shall cause the Abbott Life Insurance Trust to transfer to the AbbVie Life Insurance Trust any remaining Assets and reserves under the Abbott Life Insurance Trust which are attributable to contributions by Transferred Employees. The Parties shall each take any and all actions as they deem necessary or appropriate to ensure that the transfer of Assets and reserves from the Abbott Life Insurance Trust to the AbbVie Life Insurance Trust does not result in any adverse tax consequences to the Abbott Life Insurance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580"/>
        <w:spacing w:after="0" w:line="289" w:lineRule="auto"/>
        <w:rPr>
          <w:sz w:val="20"/>
          <w:szCs w:val="20"/>
          <w:color w:val="auto"/>
        </w:rPr>
      </w:pPr>
      <w:r>
        <w:rPr>
          <w:rFonts w:ascii="Arial" w:cs="Arial" w:eastAsia="Arial" w:hAnsi="Arial"/>
          <w:sz w:val="17"/>
          <w:szCs w:val="17"/>
          <w:color w:val="auto"/>
        </w:rPr>
        <w:t xml:space="preserve">Trust or the AbbVie Life Insurance Trust, Abbott, AbbVie, or any participants or beneficiaries under the Abbott Life Insurance Trust or the AbbVie Life Insurance Trust. The Parties shall cooperate with each other to carry out the provisions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158"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Vacation, Holidays and Leaves of Absence</w:t>
      </w:r>
      <w:r>
        <w:rPr>
          <w:rFonts w:ascii="Arial" w:cs="Arial" w:eastAsia="Arial" w:hAnsi="Arial"/>
          <w:sz w:val="17"/>
          <w:szCs w:val="17"/>
          <w:color w:val="auto"/>
        </w:rPr>
        <w:t>. Effective as of the applicable Transfer Date, AbbVie shall assume all Liabilities of the Abbott Group with respect to vacation, holiday, annual leave or other leave of absence, and required payments related thereto, for each AbbVie Employee. Abbott shall retain all Liabilities with respect to vacation, holiday, annual leave or other leave of absence, and required payments related thereto, for each Abbott Retained Employee.</w:t>
      </w:r>
    </w:p>
    <w:p>
      <w:pPr>
        <w:spacing w:after="0" w:line="17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Severance and Unemployment Compensation</w:t>
      </w:r>
      <w:r>
        <w:rPr>
          <w:rFonts w:ascii="Arial" w:cs="Arial" w:eastAsia="Arial" w:hAnsi="Arial"/>
          <w:sz w:val="17"/>
          <w:szCs w:val="17"/>
          <w:color w:val="auto"/>
        </w:rPr>
        <w:t>. Effective as of the Distribution Date, AbbVie shall be responsible for any and all Liabilities to, or relating to, AbbVie Employees and AbbVie Former Employees in respect of severance and unemployment compensation, regardless of whether the event giving rise to the Liability occurred prior to, on, or following the Distribution Date. Abbott shall be responsible for any and all Liabilities to, or relating to, Abbott Retained Employees and Abbott Former Employees in respect of severance and unemployment compensation, regardless of whether the event giving rise to the Liability occurred prior to, on, or following the Distribution Date.</w:t>
      </w:r>
    </w:p>
    <w:p>
      <w:pPr>
        <w:spacing w:after="0" w:line="179" w:lineRule="exact"/>
        <w:rPr>
          <w:sz w:val="20"/>
          <w:szCs w:val="20"/>
          <w:color w:val="auto"/>
        </w:rPr>
      </w:pPr>
    </w:p>
    <w:p>
      <w:pPr>
        <w:jc w:val="both"/>
        <w:ind w:right="20" w:firstLine="629"/>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Workers’ Compensation</w:t>
      </w:r>
      <w:r>
        <w:rPr>
          <w:rFonts w:ascii="Arial" w:cs="Arial" w:eastAsia="Arial" w:hAnsi="Arial"/>
          <w:sz w:val="17"/>
          <w:szCs w:val="17"/>
          <w:color w:val="auto"/>
        </w:rPr>
        <w:t>. With respect to claims for workers compensation in the United States, (a) the AbbVie Group shall be responsible for claims in respect of AbbVie Employees and AbbVie Former Employees, whether occurring prior to, on or following the Distribution Date, and (b) the Abbott Group shall be responsible for all claims in respect of Abbott Retained Employees and Abbott Former Employees, whether occurring prior to, on or following the Distribution Date.</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Non-U.S. Shared Health and Welfare Plans</w:t>
      </w:r>
      <w:r>
        <w:rPr>
          <w:rFonts w:ascii="Arial" w:cs="Arial" w:eastAsia="Arial" w:hAnsi="Arial"/>
          <w:sz w:val="17"/>
          <w:szCs w:val="17"/>
          <w:color w:val="auto"/>
        </w:rPr>
        <w:t>.</w:t>
      </w:r>
    </w:p>
    <w:p>
      <w:pPr>
        <w:sectPr>
          <w:pgSz w:w="11900" w:h="16838" w:orient="portrait"/>
          <w:cols w:equalWidth="0" w:num="1">
            <w:col w:w="11380"/>
          </w:cols>
          <w:pgMar w:left="240" w:top="127" w:right="279" w:bottom="0" w:gutter="0" w:footer="0" w:header="0"/>
        </w:sectPr>
      </w:pPr>
    </w:p>
    <w:bookmarkStart w:id="61" w:name="page62"/>
    <w:bookmarkEnd w:id="61"/>
    <w:p>
      <w:pPr>
        <w:ind w:left="-20" w:right="200" w:firstLine="1263"/>
        <w:spacing w:after="0" w:line="265" w:lineRule="auto"/>
        <w:tabs>
          <w:tab w:leader="none" w:pos="1878"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Shared Health and Welfare Plans</w:t>
      </w:r>
      <w:r>
        <w:rPr>
          <w:rFonts w:ascii="Arial" w:cs="Arial" w:eastAsia="Arial" w:hAnsi="Arial"/>
          <w:sz w:val="17"/>
          <w:szCs w:val="17"/>
          <w:color w:val="auto"/>
        </w:rPr>
        <w:t>. To the extent that, following the Distribution Date, there is any Benefit Plan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welfare benefits are provided to Employees of both the Abbott Group and the AbbVie Group who work primarily outside of the United States, the Parties or their appropriate Affiliates shall share the costs for such shared plan, except as otherwise mutually agreed upon by the Parties. Any Abbott or AbbVie Affiliate may withdraw from or otherwise cease to participate in any such shared plan following the Distribution Date upon at least 90 days’ advance written notice to the other participating employer(s) of such withdrawal or cessation.</w:t>
      </w:r>
    </w:p>
    <w:p>
      <w:pPr>
        <w:spacing w:after="0" w:line="179" w:lineRule="exact"/>
        <w:rPr>
          <w:rFonts w:ascii="Arial" w:cs="Arial" w:eastAsia="Arial" w:hAnsi="Arial"/>
          <w:sz w:val="17"/>
          <w:szCs w:val="17"/>
          <w:color w:val="auto"/>
        </w:rPr>
      </w:pPr>
    </w:p>
    <w:p>
      <w:pPr>
        <w:ind w:left="-20" w:right="40" w:firstLine="1263"/>
        <w:spacing w:after="0" w:line="265" w:lineRule="auto"/>
        <w:tabs>
          <w:tab w:leader="none" w:pos="1875"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Multi-National Pooling Arrangements</w:t>
      </w:r>
      <w:r>
        <w:rPr>
          <w:rFonts w:ascii="Arial" w:cs="Arial" w:eastAsia="Arial" w:hAnsi="Arial"/>
          <w:sz w:val="17"/>
          <w:szCs w:val="17"/>
          <w:color w:val="auto"/>
        </w:rPr>
        <w:t>. For purposes of this provision, the term “multi-national pooling arrangement” means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or arrangement that facilitates the purchase or provision of employee benefits. Abbott shall retain all Assets (including, without limitation, rights to dividends and similar items) with respect to employee benefits-related pooling contracts to which Abbott is a party or under which Abbott pays the premiums. From and after the Distribution Date, AbbVie shall retain all Assets (including, without limitation, rights to dividends and similar items) with respect to employee benefits-related pooling contracts to which AbbVie is a party or under which AbbVie pays the premiums.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00" w:lineRule="exact"/>
        <w:rPr>
          <w:sz w:val="20"/>
          <w:szCs w:val="20"/>
          <w:color w:val="auto"/>
        </w:rPr>
      </w:pPr>
    </w:p>
    <w:p>
      <w:pPr>
        <w:spacing w:after="0" w:line="23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EQUITY, INCENTIVE, AND EXECUTIVE COMPENSATION PROGRAMS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Equity Incentive Programs</w:t>
      </w:r>
      <w:r>
        <w:rPr>
          <w:rFonts w:ascii="Arial" w:cs="Arial" w:eastAsia="Arial" w:hAnsi="Arial"/>
          <w:sz w:val="17"/>
          <w:szCs w:val="17"/>
          <w:color w:val="auto"/>
        </w:rPr>
        <w:t>.</w:t>
      </w:r>
    </w:p>
    <w:p>
      <w:pPr>
        <w:spacing w:after="0" w:line="224" w:lineRule="exact"/>
        <w:rPr>
          <w:sz w:val="20"/>
          <w:szCs w:val="20"/>
          <w:color w:val="auto"/>
        </w:rPr>
      </w:pPr>
    </w:p>
    <w:p>
      <w:pPr>
        <w:ind w:left="-20" w:right="500" w:firstLine="1263"/>
        <w:spacing w:after="0" w:line="360" w:lineRule="auto"/>
        <w:tabs>
          <w:tab w:leader="none" w:pos="1878" w:val="left"/>
        </w:tabs>
        <w:numPr>
          <w:ilvl w:val="0"/>
          <w:numId w:val="164"/>
        </w:numPr>
        <w:rPr>
          <w:rFonts w:ascii="Arial" w:cs="Arial" w:eastAsia="Arial" w:hAnsi="Arial"/>
          <w:sz w:val="15"/>
          <w:szCs w:val="15"/>
          <w:color w:val="auto"/>
        </w:rPr>
      </w:pPr>
      <w:r>
        <w:rPr>
          <w:rFonts w:ascii="Arial" w:cs="Arial" w:eastAsia="Arial" w:hAnsi="Arial"/>
          <w:sz w:val="15"/>
          <w:szCs w:val="15"/>
          <w:color w:val="auto"/>
        </w:rPr>
        <w:t xml:space="preserve">The Parties shall use commercially reasonable efforts to take all actions necessary or appropriate so that each outstanding Abbott Option, Abbott Restricted Stock Award, or Abbott RSU Award granted under an Abbott Stock Program shall be adjusted as set forth in this </w:t>
      </w:r>
      <w:r>
        <w:rPr>
          <w:rFonts w:ascii="Arial" w:cs="Arial" w:eastAsia="Arial" w:hAnsi="Arial"/>
          <w:sz w:val="15"/>
          <w:szCs w:val="15"/>
          <w:u w:val="single" w:color="auto"/>
          <w:color w:val="auto"/>
        </w:rPr>
        <w:t>Section 6.01</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620" w:right="120" w:firstLine="1253"/>
        <w:spacing w:after="0" w:line="265" w:lineRule="auto"/>
        <w:tabs>
          <w:tab w:leader="none" w:pos="2528" w:val="left"/>
        </w:tabs>
        <w:numPr>
          <w:ilvl w:val="1"/>
          <w:numId w:val="164"/>
        </w:numPr>
        <w:rPr>
          <w:rFonts w:ascii="Arial" w:cs="Arial" w:eastAsia="Arial" w:hAnsi="Arial"/>
          <w:sz w:val="17"/>
          <w:szCs w:val="17"/>
          <w:color w:val="auto"/>
        </w:rPr>
      </w:pPr>
      <w:r>
        <w:rPr>
          <w:rFonts w:ascii="Arial" w:cs="Arial" w:eastAsia="Arial" w:hAnsi="Arial"/>
          <w:sz w:val="17"/>
          <w:szCs w:val="17"/>
          <w:i w:val="1"/>
          <w:iCs w:val="1"/>
          <w:color w:val="auto"/>
        </w:rPr>
        <w:t>Abbott Options</w:t>
      </w:r>
      <w:r>
        <w:rPr>
          <w:rFonts w:ascii="Arial" w:cs="Arial" w:eastAsia="Arial" w:hAnsi="Arial"/>
          <w:sz w:val="17"/>
          <w:szCs w:val="17"/>
          <w:color w:val="auto"/>
        </w:rPr>
        <w:t>. As determined by the Abbott Compensation Committee pursuant to its authority under the applicable Abbott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Stock Program, each Abbott Option, regardless of by whom held, whether vested or unvested, shall be converted on the Distribution Date into both an Adjusted Abbott Option and an AbbVie Option and shall, except as otherwise provided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be subject to the same terms and conditions (including with respect to vesting) after the Distribution Date as applicable to such Abbott Option immediately prior to the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from and after the Distribution Date:</w:t>
      </w:r>
    </w:p>
    <w:p>
      <w:pPr>
        <w:spacing w:after="0" w:line="179" w:lineRule="exact"/>
        <w:rPr>
          <w:rFonts w:ascii="Arial" w:cs="Arial" w:eastAsia="Arial" w:hAnsi="Arial"/>
          <w:sz w:val="17"/>
          <w:szCs w:val="17"/>
          <w:color w:val="auto"/>
        </w:rPr>
      </w:pPr>
    </w:p>
    <w:p>
      <w:pPr>
        <w:ind w:left="1240" w:right="200" w:firstLine="1262"/>
        <w:spacing w:after="0" w:line="273" w:lineRule="auto"/>
        <w:tabs>
          <w:tab w:leader="none" w:pos="3134"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number of Abbott Common Shares subject to such Adjusted Abbott Option, rounded down to the nearest whole share, shall be equal to the product obtained by multiplying (1) the number of Abbott Common Shares subject to such Abbott Option immediately prior to the Distribution Date times (2) the Abbott Value Factor and times (3) the Abbott Ratio;</w:t>
      </w:r>
    </w:p>
    <w:p>
      <w:pPr>
        <w:spacing w:after="0" w:line="171" w:lineRule="exact"/>
        <w:rPr>
          <w:rFonts w:ascii="Arial" w:cs="Arial" w:eastAsia="Arial" w:hAnsi="Arial"/>
          <w:sz w:val="17"/>
          <w:szCs w:val="17"/>
          <w:color w:val="auto"/>
        </w:rPr>
      </w:pPr>
    </w:p>
    <w:p>
      <w:pPr>
        <w:ind w:left="1240" w:right="40" w:firstLine="1262"/>
        <w:spacing w:after="0" w:line="273" w:lineRule="auto"/>
        <w:tabs>
          <w:tab w:leader="none" w:pos="3151"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number of shares of AbbVie Common Stock subject to such AbbVie Option, rounded down to the nearest whole share, shall be equal to the product obtained by multiplying (1) the number of Abbott Common Shares subject to the Abbott Option immediately prior to the Distribution Date times (2) the AbbVie Value Factor and times (3) the AbbVie Ratio;</w:t>
      </w:r>
    </w:p>
    <w:p>
      <w:pPr>
        <w:spacing w:after="0" w:line="171" w:lineRule="exact"/>
        <w:rPr>
          <w:rFonts w:ascii="Arial" w:cs="Arial" w:eastAsia="Arial" w:hAnsi="Arial"/>
          <w:sz w:val="17"/>
          <w:szCs w:val="17"/>
          <w:color w:val="auto"/>
        </w:rPr>
      </w:pPr>
    </w:p>
    <w:p>
      <w:pPr>
        <w:jc w:val="both"/>
        <w:ind w:left="1240" w:right="180" w:firstLine="1262"/>
        <w:spacing w:after="0" w:line="300" w:lineRule="auto"/>
        <w:tabs>
          <w:tab w:leader="none" w:pos="3151" w:val="left"/>
        </w:tabs>
        <w:numPr>
          <w:ilvl w:val="2"/>
          <w:numId w:val="164"/>
        </w:numPr>
        <w:rPr>
          <w:rFonts w:ascii="Arial" w:cs="Arial" w:eastAsia="Arial" w:hAnsi="Arial"/>
          <w:sz w:val="15"/>
          <w:szCs w:val="15"/>
          <w:color w:val="auto"/>
        </w:rPr>
      </w:pPr>
      <w:r>
        <w:rPr>
          <w:rFonts w:ascii="Arial" w:cs="Arial" w:eastAsia="Arial" w:hAnsi="Arial"/>
          <w:sz w:val="15"/>
          <w:szCs w:val="15"/>
          <w:color w:val="auto"/>
        </w:rPr>
        <w:t>the per share exercise price of such Adjusted Abbott Option, rounded up to the nearest hundredth of a cent, shall be equal to the quotient obtained by dividing (1) the per share exercise price of such Abbott Option immediately prior to the Distribution Date by</w:t>
      </w:r>
    </w:p>
    <w:p>
      <w:pPr>
        <w:ind w:left="1240"/>
        <w:spacing w:after="0"/>
        <w:rPr>
          <w:rFonts w:ascii="Arial" w:cs="Arial" w:eastAsia="Arial" w:hAnsi="Arial"/>
          <w:sz w:val="15"/>
          <w:szCs w:val="15"/>
          <w:color w:val="auto"/>
        </w:rPr>
      </w:pPr>
      <w:r>
        <w:rPr>
          <w:rFonts w:ascii="Arial" w:cs="Arial" w:eastAsia="Arial" w:hAnsi="Arial"/>
          <w:sz w:val="17"/>
          <w:szCs w:val="17"/>
          <w:color w:val="auto"/>
        </w:rPr>
        <w:t>(2) the Abbott Ratio; and</w:t>
      </w:r>
    </w:p>
    <w:p>
      <w:pPr>
        <w:spacing w:after="0" w:line="212" w:lineRule="exact"/>
        <w:rPr>
          <w:rFonts w:ascii="Arial" w:cs="Arial" w:eastAsia="Arial" w:hAnsi="Arial"/>
          <w:sz w:val="15"/>
          <w:szCs w:val="15"/>
          <w:color w:val="auto"/>
        </w:rPr>
      </w:pPr>
    </w:p>
    <w:p>
      <w:pPr>
        <w:ind w:left="1240" w:right="200" w:firstLine="1262"/>
        <w:spacing w:after="0" w:line="273" w:lineRule="auto"/>
        <w:tabs>
          <w:tab w:leader="none" w:pos="3147"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per share exercise price of such AbbVie Option, rounded up to the nearest hundredth of a cent, shall be equal to the quotient obtained by dividing (1) the per share exercise price of the Abbott Option immediately prior to the Distribution Date by (2) the AbbVie Ratio;</w:t>
      </w:r>
    </w:p>
    <w:p>
      <w:pPr>
        <w:spacing w:after="0" w:line="172" w:lineRule="exact"/>
        <w:rPr>
          <w:sz w:val="20"/>
          <w:szCs w:val="20"/>
          <w:color w:val="auto"/>
        </w:rPr>
      </w:pPr>
    </w:p>
    <w:p>
      <w:pPr>
        <w:ind w:left="620" w:right="60"/>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exercise price, the number of Abbott Common Shares and shares of AbbVie Common Stock subject to such options, and the terms and conditions of exercise of such options shall be determined in a manner consistent with the requirements of Code Section 409A;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any Abbott Option to which Code Section 421 applies by reason of its qualification under Code Section 422 as of immediately prior to the Distribution Date, the exercise price, the number of Abbott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spacing w:after="0" w:line="289" w:lineRule="auto"/>
        <w:rPr>
          <w:sz w:val="20"/>
          <w:szCs w:val="20"/>
          <w:color w:val="auto"/>
        </w:rPr>
      </w:pPr>
      <w:r>
        <w:rPr>
          <w:rFonts w:ascii="Arial" w:cs="Arial" w:eastAsia="Arial" w:hAnsi="Arial"/>
          <w:sz w:val="17"/>
          <w:szCs w:val="17"/>
          <w:color w:val="auto"/>
        </w:rPr>
        <w:t>Common Shares and shares of AbbVie Common Stock subject to such option, and the terms and conditions of exercise of such option shall be determined in a manner consistent with the requirements of Code Section 424(a).</w:t>
      </w:r>
    </w:p>
    <w:p>
      <w:pPr>
        <w:spacing w:after="0" w:line="158" w:lineRule="exact"/>
        <w:rPr>
          <w:sz w:val="20"/>
          <w:szCs w:val="20"/>
          <w:color w:val="auto"/>
        </w:rPr>
      </w:pPr>
    </w:p>
    <w:p>
      <w:pPr>
        <w:ind w:left="620" w:right="80" w:firstLine="1253"/>
        <w:spacing w:after="0" w:line="281" w:lineRule="auto"/>
        <w:tabs>
          <w:tab w:leader="none" w:pos="2538"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Abbott Restricted Stock Awards</w:t>
      </w:r>
      <w:r>
        <w:rPr>
          <w:rFonts w:ascii="Arial" w:cs="Arial" w:eastAsia="Arial" w:hAnsi="Arial"/>
          <w:sz w:val="16"/>
          <w:szCs w:val="16"/>
          <w:color w:val="auto"/>
        </w:rPr>
        <w:t>. Each holder of an outstanding Abbott Restricted Stock Award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Date shall receive, as of the Distribution Date, an AbbVie Restricted Stock Award for such number of shares as determined by applying the Distribution Ratio in the same way as if the outstanding Abbott Restricted Stock Award were comprised of fully vested Abbott Common Shares as of the Distribution Date. Except as set forth in this </w:t>
      </w:r>
      <w:r>
        <w:rPr>
          <w:rFonts w:ascii="Arial" w:cs="Arial" w:eastAsia="Arial" w:hAnsi="Arial"/>
          <w:sz w:val="16"/>
          <w:szCs w:val="16"/>
          <w:u w:val="single" w:color="auto"/>
          <w:color w:val="auto"/>
        </w:rPr>
        <w:t>Section 6.01(a)(ii)</w:t>
      </w:r>
      <w:r>
        <w:rPr>
          <w:rFonts w:ascii="Arial" w:cs="Arial" w:eastAsia="Arial" w:hAnsi="Arial"/>
          <w:sz w:val="16"/>
          <w:szCs w:val="16"/>
          <w:color w:val="auto"/>
        </w:rPr>
        <w:t xml:space="preserve">, the Adjusted Abbott Restricted Stock Award and the AbbVie Restricted Stock Award issued in accordance with this </w:t>
      </w:r>
      <w:r>
        <w:rPr>
          <w:rFonts w:ascii="Arial" w:cs="Arial" w:eastAsia="Arial" w:hAnsi="Arial"/>
          <w:sz w:val="16"/>
          <w:szCs w:val="16"/>
          <w:u w:val="single" w:color="auto"/>
          <w:color w:val="auto"/>
        </w:rPr>
        <w:t>Section 6.01(a)(ii)</w:t>
      </w:r>
      <w:r>
        <w:rPr>
          <w:rFonts w:ascii="Arial" w:cs="Arial" w:eastAsia="Arial" w:hAnsi="Arial"/>
          <w:sz w:val="16"/>
          <w:szCs w:val="16"/>
          <w:color w:val="auto"/>
        </w:rPr>
        <w:t xml:space="preserve"> both shall be subject to substantially the same terms and conditions (including with respect to vesting, except to the extent that performance vesting requirements are adjusted as a result of the Distribution) immediately following the Distribution Date as applicable to the Abbott Restricted Stock Award immediately prior to the Distribution Date.</w:t>
      </w:r>
    </w:p>
    <w:p>
      <w:pPr>
        <w:spacing w:after="0" w:line="170" w:lineRule="exact"/>
        <w:rPr>
          <w:rFonts w:ascii="Arial" w:cs="Arial" w:eastAsia="Arial" w:hAnsi="Arial"/>
          <w:sz w:val="16"/>
          <w:szCs w:val="16"/>
          <w:color w:val="auto"/>
        </w:rPr>
      </w:pPr>
    </w:p>
    <w:p>
      <w:pPr>
        <w:ind w:left="620" w:right="60" w:firstLine="1253"/>
        <w:spacing w:after="0" w:line="262" w:lineRule="auto"/>
        <w:tabs>
          <w:tab w:leader="none" w:pos="2547"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Abbott RSU Awards</w:t>
      </w:r>
      <w:r>
        <w:rPr>
          <w:rFonts w:ascii="Arial" w:cs="Arial" w:eastAsia="Arial" w:hAnsi="Arial"/>
          <w:sz w:val="17"/>
          <w:szCs w:val="17"/>
          <w:color w:val="auto"/>
        </w:rPr>
        <w:t>. Each holder of an outstanding Abbott RSU Award immediately prior to the Distribution Date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receive, as of the Distribution Date, an AbbVie RSU Award in such number of units as determined by applying the Distribution Ratio in the same way as if the outstanding Abbott RSU Award were comprised of fully vested Abbott Common Shares as of the Distribution Date. Except as set forth in this </w:t>
      </w:r>
      <w:r>
        <w:rPr>
          <w:rFonts w:ascii="Arial" w:cs="Arial" w:eastAsia="Arial" w:hAnsi="Arial"/>
          <w:sz w:val="17"/>
          <w:szCs w:val="17"/>
          <w:u w:val="single" w:color="auto"/>
          <w:color w:val="auto"/>
        </w:rPr>
        <w:t>Section 6.01(a)(iii)</w:t>
      </w:r>
      <w:r>
        <w:rPr>
          <w:rFonts w:ascii="Arial" w:cs="Arial" w:eastAsia="Arial" w:hAnsi="Arial"/>
          <w:sz w:val="17"/>
          <w:szCs w:val="17"/>
          <w:color w:val="auto"/>
        </w:rPr>
        <w:t xml:space="preserve">, the Adjusted Abbott RSU Award and the AbbVie RSU Award issued in accordance with this </w:t>
      </w:r>
      <w:r>
        <w:rPr>
          <w:rFonts w:ascii="Arial" w:cs="Arial" w:eastAsia="Arial" w:hAnsi="Arial"/>
          <w:sz w:val="17"/>
          <w:szCs w:val="17"/>
          <w:u w:val="single" w:color="auto"/>
          <w:color w:val="auto"/>
        </w:rPr>
        <w:t>Section 6.01(a)(iii)</w:t>
      </w:r>
      <w:r>
        <w:rPr>
          <w:rFonts w:ascii="Arial" w:cs="Arial" w:eastAsia="Arial" w:hAnsi="Arial"/>
          <w:sz w:val="17"/>
          <w:szCs w:val="17"/>
          <w:color w:val="auto"/>
        </w:rPr>
        <w:t xml:space="preserve"> both shall be subject to substantially the same terms and conditions (including with respect to vesting, except to the extent that performance vesting requirements are adjusted as a result of the Distribution) immediately following the Distribution Date as applicable to the Abbott RSU Award immediately prior to the Distribution Date.</w:t>
      </w:r>
    </w:p>
    <w:p>
      <w:pPr>
        <w:sectPr>
          <w:pgSz w:w="11900" w:h="16838" w:orient="portrait"/>
          <w:cols w:equalWidth="0" w:num="1">
            <w:col w:w="11400"/>
          </w:cols>
          <w:pgMar w:left="260" w:top="337" w:right="239" w:bottom="49" w:gutter="0" w:footer="0" w:header="0"/>
        </w:sectPr>
      </w:pPr>
    </w:p>
    <w:bookmarkStart w:id="62" w:name="page63"/>
    <w:bookmarkEnd w:id="62"/>
    <w:p>
      <w:pPr>
        <w:ind w:right="180" w:firstLine="1263"/>
        <w:spacing w:after="0" w:line="276" w:lineRule="auto"/>
        <w:tabs>
          <w:tab w:leader="none" w:pos="1895" w:val="left"/>
        </w:tabs>
        <w:numPr>
          <w:ilvl w:val="1"/>
          <w:numId w:val="166"/>
        </w:numPr>
        <w:rPr>
          <w:rFonts w:ascii="Arial" w:cs="Arial" w:eastAsia="Arial" w:hAnsi="Arial"/>
          <w:sz w:val="16"/>
          <w:szCs w:val="16"/>
          <w:color w:val="auto"/>
        </w:rPr>
      </w:pPr>
      <w:r>
        <w:rPr>
          <w:rFonts w:ascii="Arial" w:cs="Arial" w:eastAsia="Arial" w:hAnsi="Arial"/>
          <w:sz w:val="16"/>
          <w:szCs w:val="16"/>
          <w:i w:val="1"/>
          <w:iCs w:val="1"/>
          <w:color w:val="auto"/>
        </w:rPr>
        <w:t>Miscellaneous Award Terms</w:t>
      </w:r>
      <w:r>
        <w:rPr>
          <w:rFonts w:ascii="Arial" w:cs="Arial" w:eastAsia="Arial" w:hAnsi="Arial"/>
          <w:sz w:val="16"/>
          <w:szCs w:val="16"/>
          <w:color w:val="auto"/>
        </w:rPr>
        <w:t>. After the Distribution Date, Adjusted Abbott Awards, regardless of by whom held, shall be settled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Abbott, and AbbVie Awards, regardless of by whom held, shall be settled by AbbVie;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Abbott shall be responsible for any dividend equivalent payments with respect to Adjusted Abbott RSU Awards and AbbVie RSU Awards held by Abbott Retained Employees or Abbott Former Employees, and AbbVie shall be responsible for any dividend equivalent payments with respect to Adjusted Abbott RSU Awards and AbbVie RSU Awards held by AbbVie Employees or AbbVie Former Employees. Except as otherwise provided in this Agreement, with respect to grants adjusted pursuant to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220" w:hanging="215"/>
        <w:spacing w:after="0"/>
        <w:tabs>
          <w:tab w:leader="none" w:pos="2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employment with the Abbott Group shall be treated as employment with AbbVie with respect to AbbVie Awards held by Abbott Retained Employees, and</w:t>
      </w:r>
    </w:p>
    <w:p>
      <w:pPr>
        <w:spacing w:after="0" w:line="25" w:lineRule="exact"/>
        <w:rPr>
          <w:rFonts w:ascii="Arial" w:cs="Arial" w:eastAsia="Arial" w:hAnsi="Arial"/>
          <w:sz w:val="16"/>
          <w:szCs w:val="16"/>
          <w:color w:val="auto"/>
        </w:rPr>
      </w:pPr>
    </w:p>
    <w:p>
      <w:pPr>
        <w:ind w:right="240" w:firstLine="5"/>
        <w:spacing w:after="0" w:line="282" w:lineRule="auto"/>
        <w:tabs>
          <w:tab w:leader="none" w:pos="25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employment with the AbbVie Group shall be treated as employment with Abbott with respect to Adjusted Abbott Awards held by AbbVie Employees. In addition, none of the Separation, the Distribution, or any employment transfer described in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constitute a termination of employment for any Employee for purposes of any Adjusted Abbott Award or any AbbVie Award. Following the Distribution Date, for any award adjusted under this </w:t>
      </w:r>
      <w:r>
        <w:rPr>
          <w:rFonts w:ascii="Arial" w:cs="Arial" w:eastAsia="Arial" w:hAnsi="Arial"/>
          <w:sz w:val="16"/>
          <w:szCs w:val="16"/>
          <w:u w:val="single" w:color="auto"/>
          <w:color w:val="auto"/>
        </w:rPr>
        <w:t>Section 6.01</w:t>
      </w:r>
      <w:r>
        <w:rPr>
          <w:rFonts w:ascii="Arial" w:cs="Arial" w:eastAsia="Arial" w:hAnsi="Arial"/>
          <w:sz w:val="16"/>
          <w:szCs w:val="16"/>
          <w:color w:val="auto"/>
        </w:rPr>
        <w:t>, any reference to a “change in control,” “change of control” or similar definition in an award agreement, employment agreement or Abbott Stock Program applicable to such award (A) with respect to Adjusted Abbott Awards, shall be deemed to refer to a “change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control,” “change of control” or similar definition as set forth in the applicable award agreement, employment agreement or Abbott Stock Program (an “Abbott Change of Control”), and (B) with respect to AbbVie Awards, shall be deemed to refer to a “Change in Control” as defined in the AbbVie ISP (an “AbbVie Change of Control”). Without limiting the foregoing, with respect to provisions related to vesting of awards, an Abbott Change of Control shall be treated as an AbbVie Change of Control for purposes of AbbVie Awards held by Abbott Retained Employees, and an AbbVie Change of Control shall be treated as an Abbott Change of Control for purposes of Adjusted Abbott Awards held by AbbVie Employees.</w:t>
      </w:r>
    </w:p>
    <w:p>
      <w:pPr>
        <w:spacing w:after="0" w:line="179" w:lineRule="exact"/>
        <w:rPr>
          <w:sz w:val="20"/>
          <w:szCs w:val="20"/>
          <w:color w:val="auto"/>
        </w:rPr>
      </w:pPr>
    </w:p>
    <w:p>
      <w:pPr>
        <w:ind w:right="40" w:firstLine="1263"/>
        <w:spacing w:after="0" w:line="261" w:lineRule="auto"/>
        <w:tabs>
          <w:tab w:leader="none" w:pos="1898"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Tax Reporting and Withholding. </w:t>
      </w:r>
      <w:r>
        <w:rPr>
          <w:rFonts w:ascii="Arial" w:cs="Arial" w:eastAsia="Arial" w:hAnsi="Arial"/>
          <w:sz w:val="17"/>
          <w:szCs w:val="17"/>
          <w:color w:val="auto"/>
        </w:rPr>
        <w:t>Following the Distribution Date, and for the duration of the Transition Services Agreement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Abbott provides payroll services for AbbVie, it is expected that (i) Abbott will be responsible for all income, payroll and other tax remittance and reporting related to income of Abbott Retained Employees, Abbott Former Employees, and individuals who are or were Abbott non-employee directors in respect of Adjusted Abbott Awards and AbbVie Awards; and (ii) AbbVie will be responsible for all income, payroll and other tax remittance and reporting related to income of AbbVie Employees and AbbVie Former Employees in respect of Adjusted Abbott Awards and AbbVie Awards. Abbott or AbbVie, as applicable, shall facilitate performance by the other Party of its obligations hereunder by promptly remitting amounts or shares withheld in conjunction with a transfer of shares or cash, either (as mutually agreed by the Parties) directly to the applicable taxing authority or to the other Party for remittance to such taxing authority. The Parties will cooperate and communicate with each other and with third-party providers to effectuate withholding and remittance of taxes, as well as required tax reporting, in a timely, efficient and appropriate manner.</w:t>
      </w:r>
    </w:p>
    <w:p>
      <w:pPr>
        <w:spacing w:after="0" w:line="184" w:lineRule="exact"/>
        <w:rPr>
          <w:rFonts w:ascii="Arial" w:cs="Arial" w:eastAsia="Arial" w:hAnsi="Arial"/>
          <w:sz w:val="17"/>
          <w:szCs w:val="17"/>
          <w:color w:val="auto"/>
        </w:rPr>
      </w:pPr>
    </w:p>
    <w:p>
      <w:pPr>
        <w:ind w:right="140" w:firstLine="1263"/>
        <w:spacing w:after="0" w:line="305" w:lineRule="auto"/>
        <w:tabs>
          <w:tab w:leader="none" w:pos="1895"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Registration and Other Regulatory Requirements</w:t>
      </w:r>
      <w:r>
        <w:rPr>
          <w:rFonts w:ascii="Arial" w:cs="Arial" w:eastAsia="Arial" w:hAnsi="Arial"/>
          <w:sz w:val="15"/>
          <w:szCs w:val="15"/>
          <w:color w:val="auto"/>
        </w:rPr>
        <w:t>. As soon as possible following the Distribution Date, but in any case before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issuance of any shares of AbbVie Common Stock pursuant to the AbbVie ISP, AbbVie agrees to file a Form S-8 Registration Statement with respect to, and to cause to be registered pursuant to the Securities Act, the shares of AbbVie Common Stock authorized for issuance under the AbbVie ISP as required pursuant to the Securities Act. The Parties shall take such additional actions as are deemed necessary or advisable to effectuate the foregoing provisions of this </w:t>
      </w:r>
      <w:r>
        <w:rPr>
          <w:rFonts w:ascii="Arial" w:cs="Arial" w:eastAsia="Arial" w:hAnsi="Arial"/>
          <w:sz w:val="15"/>
          <w:szCs w:val="15"/>
          <w:u w:val="single" w:color="auto"/>
          <w:color w:val="auto"/>
        </w:rPr>
        <w:t>Section 6.01</w:t>
      </w:r>
      <w:r>
        <w:rPr>
          <w:rFonts w:ascii="Arial" w:cs="Arial" w:eastAsia="Arial" w:hAnsi="Arial"/>
          <w:sz w:val="15"/>
          <w:szCs w:val="15"/>
          <w:color w:val="auto"/>
        </w:rPr>
        <w:t>, including compliance with securities Laws and other legal requirements associated with equity compensation awards in affected non-U.S. jurisdictions. Abbott agrees to facilitate the adoption and approval of the AbbVie ISP consistent with the requirements of Treasury Regulations Section 1.162-27(f)(4)(iii).</w:t>
      </w:r>
    </w:p>
    <w:p>
      <w:pPr>
        <w:spacing w:after="0" w:line="153" w:lineRule="exact"/>
        <w:rPr>
          <w:rFonts w:ascii="Arial" w:cs="Arial" w:eastAsia="Arial" w:hAnsi="Arial"/>
          <w:sz w:val="15"/>
          <w:szCs w:val="15"/>
          <w:color w:val="auto"/>
        </w:rPr>
      </w:pPr>
    </w:p>
    <w:p>
      <w:pPr>
        <w:ind w:right="220" w:firstLine="1263"/>
        <w:spacing w:after="0" w:line="305" w:lineRule="auto"/>
        <w:tabs>
          <w:tab w:leader="none" w:pos="1898"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Abbott Equity-Based Awards in Certain Non-U.S. Jurisdictions</w:t>
      </w:r>
      <w:r>
        <w:rPr>
          <w:rFonts w:ascii="Arial" w:cs="Arial" w:eastAsia="Arial" w:hAnsi="Arial"/>
          <w:sz w:val="15"/>
          <w:szCs w:val="15"/>
          <w:color w:val="auto"/>
        </w:rPr>
        <w:t>. Notwithstanding the foregoing provisions of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6.01</w:t>
      </w:r>
      <w:r>
        <w:rPr>
          <w:rFonts w:ascii="Arial" w:cs="Arial" w:eastAsia="Arial" w:hAnsi="Arial"/>
          <w:sz w:val="15"/>
          <w:szCs w:val="15"/>
          <w:color w:val="auto"/>
        </w:rPr>
        <w: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Parties may mutually agree, in their sole discretion, not to adjust certain outstanding Abbott equity-based awards pursuant to the foregoing provisions of this </w:t>
      </w:r>
      <w:r>
        <w:rPr>
          <w:rFonts w:ascii="Arial" w:cs="Arial" w:eastAsia="Arial" w:hAnsi="Arial"/>
          <w:sz w:val="15"/>
          <w:szCs w:val="15"/>
          <w:u w:val="single" w:color="auto"/>
          <w:color w:val="auto"/>
        </w:rPr>
        <w:t>Section 6.01</w:t>
      </w:r>
      <w:r>
        <w:rPr>
          <w:rFonts w:ascii="Arial" w:cs="Arial" w:eastAsia="Arial" w:hAnsi="Arial"/>
          <w:sz w:val="15"/>
          <w:szCs w:val="15"/>
          <w:color w:val="auto"/>
        </w:rPr>
        <w:t>, where those actions would create or trigger adverse legal, accounting or tax consequences for Abbott, AbbVie, and/or the affected non-U.S. award holders. In such circumstances, Abbott and/or AbbVie may take any action necessary or advisable to prevent any such adverse legal, accounting or tax consequences, including, but not limited to, agreeing that the outstanding Abbott equity-based awards of the affected non-U.S. award holders shall terminate in accordance with the terms of the Abbott Stock Programs and the underlying award agreements, in which case AbbVie or Abbott, as applicable, shall equitably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compensate the affected non-U.S. award holders in an alternate manner determined by AbbVie or Abbott, as applicable, in its sole discretion, or apply an alternate adjustment method. Where and to the extent required by applicable Law or tax considerations outside the United States, the adjustments described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be deemed to have been effectuated immediately prior to the Distribution Date.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Employee Stock Purchase Plan.</w:t>
      </w:r>
    </w:p>
    <w:p>
      <w:pPr>
        <w:spacing w:after="0" w:line="224" w:lineRule="exact"/>
        <w:rPr>
          <w:sz w:val="20"/>
          <w:szCs w:val="20"/>
          <w:color w:val="auto"/>
        </w:rPr>
      </w:pPr>
    </w:p>
    <w:p>
      <w:pPr>
        <w:ind w:firstLine="1263"/>
        <w:spacing w:after="0" w:line="279" w:lineRule="auto"/>
        <w:tabs>
          <w:tab w:leader="none" w:pos="1898"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Abbott ESPP</w:t>
      </w:r>
      <w:r>
        <w:rPr>
          <w:rFonts w:ascii="Arial" w:cs="Arial" w:eastAsia="Arial" w:hAnsi="Arial"/>
          <w:sz w:val="16"/>
          <w:szCs w:val="16"/>
          <w:color w:val="auto"/>
        </w:rPr>
        <w:t>. The administrator of the Abbott ESPP shall take all actions necessary and appropriate to provide that: (i) the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Cycle during which the Distribution Date is to occur shall end at a reasonable time before the Distribution Date to allow participants to purchase Abbott Common Shares under the Abbott ESPP prior to the Distribution Date; (ii) all participant payroll deductions and other contributions under the Abbott ESPP shall cease on or before the Purchase Date described in clause (i) of this paragraph; (iii) Transferred Non-U.S. Employees in the Abbott ESPP shall not be eligible to participate in any future Purchase Cycles that begin following the Distribution Date; (iv) any cash remaining in the Abbott ESPP account of any Transferred Non-U.S. Employee described in clause (iii) shall be refunded to such Transferred Non-U.S. Employee without interest as soon as administratively practicable; and (v) the next following Purchase Cycle shall be established by the administrator of the Abbott ESPP in its sole discretion. For purposes of this paragraph, the administrator of the Abbott ESPP may establish an alternate Purchase Cycle ending date for a sub-plan of the Abbott ESPP, as it determines to be necessary or advisable to accommodate the operation and administration of the sub-plan.</w:t>
      </w:r>
    </w:p>
    <w:p>
      <w:pPr>
        <w:spacing w:after="0" w:line="172" w:lineRule="exact"/>
        <w:rPr>
          <w:rFonts w:ascii="Arial" w:cs="Arial" w:eastAsia="Arial" w:hAnsi="Arial"/>
          <w:sz w:val="16"/>
          <w:szCs w:val="16"/>
          <w:color w:val="auto"/>
        </w:rPr>
      </w:pPr>
    </w:p>
    <w:p>
      <w:pPr>
        <w:jc w:val="both"/>
        <w:ind w:right="200" w:firstLine="1263"/>
        <w:spacing w:after="0" w:line="268" w:lineRule="auto"/>
        <w:tabs>
          <w:tab w:leader="none" w:pos="1895"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Establishment of AbbVie ESPP</w:t>
      </w:r>
      <w:r>
        <w:rPr>
          <w:rFonts w:ascii="Arial" w:cs="Arial" w:eastAsia="Arial" w:hAnsi="Arial"/>
          <w:sz w:val="17"/>
          <w:szCs w:val="17"/>
          <w:color w:val="auto"/>
        </w:rPr>
        <w:t>. Effective as of or before the Distribution Date, AbbVie shall establish the AbbVie ESPP,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substantially similar to those of the Abbott ESPP as of the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AbbVie may delay implementation of the AbbVie ESPP in one or more countries to the extent necessary to complete those actions and undertakings that AbbVie, in its sole discretion, determines to be necessary or advisable to comply with applicable Law.</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Annual Incentive Plans</w:t>
      </w:r>
      <w:r>
        <w:rPr>
          <w:rFonts w:ascii="Arial" w:cs="Arial" w:eastAsia="Arial" w:hAnsi="Arial"/>
          <w:sz w:val="17"/>
          <w:szCs w:val="17"/>
          <w:color w:val="auto"/>
        </w:rPr>
        <w:t>.</w:t>
      </w:r>
    </w:p>
    <w:p>
      <w:pPr>
        <w:spacing w:after="0" w:line="224" w:lineRule="exact"/>
        <w:rPr>
          <w:sz w:val="20"/>
          <w:szCs w:val="20"/>
          <w:color w:val="auto"/>
        </w:rPr>
      </w:pPr>
    </w:p>
    <w:p>
      <w:pPr>
        <w:ind w:right="20" w:firstLine="1263"/>
        <w:spacing w:after="0" w:line="289" w:lineRule="auto"/>
        <w:tabs>
          <w:tab w:leader="none" w:pos="189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Annual Bonuses Generally</w:t>
      </w:r>
      <w:r>
        <w:rPr>
          <w:rFonts w:ascii="Arial" w:cs="Arial" w:eastAsia="Arial" w:hAnsi="Arial"/>
          <w:sz w:val="17"/>
          <w:szCs w:val="17"/>
          <w:color w:val="auto"/>
        </w:rPr>
        <w:t>. The AbbVie Group shall be responsible for all annual bonus payments to Transferred Employees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plan year, the payment date for which occurs on or after the applicable Transferred Employee’s Transfer Date.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U.S. Abbott Laboratories Cash Profit Sharing Plan.</w:t>
      </w:r>
    </w:p>
    <w:p>
      <w:pPr>
        <w:sectPr>
          <w:pgSz w:w="11900" w:h="16838" w:orient="portrait"/>
          <w:cols w:equalWidth="0" w:num="1">
            <w:col w:w="11420"/>
          </w:cols>
          <w:pgMar w:left="240" w:top="127" w:right="239" w:bottom="0" w:gutter="0" w:footer="0" w:header="0"/>
        </w:sectPr>
      </w:pPr>
    </w:p>
    <w:bookmarkStart w:id="63" w:name="page64"/>
    <w:bookmarkEnd w:id="63"/>
    <w:p>
      <w:pPr>
        <w:jc w:val="both"/>
        <w:ind w:left="640" w:right="540" w:firstLine="1253"/>
        <w:spacing w:after="0" w:line="322" w:lineRule="auto"/>
        <w:tabs>
          <w:tab w:leader="none" w:pos="254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Effective as of or before the Distribution Date, AbbVie shall establish the AbbVie Cash Profit Sharing Plan, with terms substantially similar, subject to </w:t>
      </w:r>
      <w:r>
        <w:rPr>
          <w:rFonts w:ascii="Arial" w:cs="Arial" w:eastAsia="Arial" w:hAnsi="Arial"/>
          <w:sz w:val="16"/>
          <w:szCs w:val="16"/>
          <w:u w:val="single" w:color="auto"/>
          <w:color w:val="auto"/>
        </w:rPr>
        <w:t>Section 6.03(b)(iii)</w:t>
      </w:r>
      <w:r>
        <w:rPr>
          <w:rFonts w:ascii="Arial" w:cs="Arial" w:eastAsia="Arial" w:hAnsi="Arial"/>
          <w:sz w:val="16"/>
          <w:szCs w:val="16"/>
          <w:color w:val="auto"/>
        </w:rPr>
        <w:t>, to the Abbott Cash Profit Sharing Plan as in effect immediately prior to the Distribution Date.</w:t>
      </w:r>
    </w:p>
    <w:p>
      <w:pPr>
        <w:spacing w:after="0" w:line="135" w:lineRule="exact"/>
        <w:rPr>
          <w:rFonts w:ascii="Arial" w:cs="Arial" w:eastAsia="Arial" w:hAnsi="Arial"/>
          <w:sz w:val="16"/>
          <w:szCs w:val="16"/>
          <w:color w:val="auto"/>
        </w:rPr>
      </w:pPr>
    </w:p>
    <w:p>
      <w:pPr>
        <w:ind w:left="640" w:right="160" w:firstLine="1253"/>
        <w:spacing w:after="0" w:line="289" w:lineRule="auto"/>
        <w:tabs>
          <w:tab w:leader="none" w:pos="255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AbbVie Cash Profit Sharing Plan shall provide that Transferred Employees shall be eligible to participate in the AbbVie Cash Profit Sharing Plan beginning on the applicable Transfer Date to the same extent that they were eligible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participate in the Abbott Cash Profit Sharing Plan immediately prior to such Transfer Date.</w:t>
      </w:r>
    </w:p>
    <w:p>
      <w:pPr>
        <w:spacing w:after="0" w:line="224" w:lineRule="exact"/>
        <w:rPr>
          <w:sz w:val="20"/>
          <w:szCs w:val="20"/>
          <w:color w:val="auto"/>
        </w:rPr>
      </w:pPr>
    </w:p>
    <w:p>
      <w:pPr>
        <w:ind w:left="640" w:right="140" w:firstLine="1253"/>
        <w:spacing w:after="0" w:line="305" w:lineRule="auto"/>
        <w:tabs>
          <w:tab w:leader="none" w:pos="2567"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Each Transferred Employee who participated in the Abbott Cash Profit Sharing Plan prior to the Distribution Date with respect to the plan year commencing on October 1, 2012 and who is eligible to receive payment in respect of such plan year pursuant to the terms of the AbbVie Cash Profit Sharing Plan (treating service with the Abbott Group as if with the AbbVie Group) shall be entitled to receive from AbbVie a cash payment in accordance with the AbbVie Cash Profit Sharing Plan for such plan year (treating compensation paid by the Abbott Group as if paid by the AbbVie Group, for purposes of determining eligible compensation for the plan year). AbbVie shall make all determinations of performance and all payment calculations under this </w:t>
      </w:r>
      <w:r>
        <w:rPr>
          <w:rFonts w:ascii="Arial" w:cs="Arial" w:eastAsia="Arial" w:hAnsi="Arial"/>
          <w:sz w:val="15"/>
          <w:szCs w:val="15"/>
          <w:u w:val="single" w:color="auto"/>
          <w:color w:val="auto"/>
        </w:rPr>
        <w:t>Section 6.03(b)</w:t>
      </w:r>
      <w:r>
        <w:rPr>
          <w:rFonts w:ascii="Arial" w:cs="Arial" w:eastAsia="Arial" w:hAnsi="Arial"/>
          <w:sz w:val="15"/>
          <w:szCs w:val="15"/>
          <w:color w:val="auto"/>
        </w:rPr>
        <w:t xml:space="preserve"> and shall be solely responsible for all payments to or with respect to Transferred Employees hereunder.</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Performance Incentive Plan and Management Incentive Plan</w:t>
      </w:r>
      <w:r>
        <w:rPr>
          <w:rFonts w:ascii="Arial" w:cs="Arial" w:eastAsia="Arial" w:hAnsi="Arial"/>
          <w:sz w:val="17"/>
          <w:szCs w:val="17"/>
          <w:color w:val="auto"/>
        </w:rPr>
        <w:t>.</w:t>
      </w:r>
    </w:p>
    <w:p>
      <w:pPr>
        <w:spacing w:after="0" w:line="224" w:lineRule="exact"/>
        <w:rPr>
          <w:sz w:val="20"/>
          <w:szCs w:val="20"/>
          <w:color w:val="auto"/>
        </w:rPr>
      </w:pPr>
    </w:p>
    <w:p>
      <w:pPr>
        <w:ind w:right="60" w:firstLine="1263"/>
        <w:spacing w:after="0" w:line="298" w:lineRule="auto"/>
        <w:tabs>
          <w:tab w:leader="none" w:pos="1898"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Establishment of AbbVie Performance Incentive Plan and Management Incentive Plan</w:t>
      </w:r>
      <w:r>
        <w:rPr>
          <w:rFonts w:ascii="Arial" w:cs="Arial" w:eastAsia="Arial" w:hAnsi="Arial"/>
          <w:sz w:val="16"/>
          <w:szCs w:val="16"/>
          <w:color w:val="auto"/>
        </w:rPr>
        <w:t>. Effective as of or before the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AbbVie shall establish the AbbVie 2013 Performance Incentive Plan and the AbbVie 2013 Management Incentive Plan, with terms and funding arrangements substantially similar to those of the Abbott Performance Incentive Plan and the Abbott Management Incentive Plan as of the Distribution Date.</w:t>
      </w:r>
    </w:p>
    <w:p>
      <w:pPr>
        <w:spacing w:after="0" w:line="153" w:lineRule="exact"/>
        <w:rPr>
          <w:rFonts w:ascii="Arial" w:cs="Arial" w:eastAsia="Arial" w:hAnsi="Arial"/>
          <w:sz w:val="16"/>
          <w:szCs w:val="16"/>
          <w:color w:val="auto"/>
        </w:rPr>
      </w:pPr>
    </w:p>
    <w:p>
      <w:pPr>
        <w:ind w:right="200" w:firstLine="1263"/>
        <w:spacing w:after="0" w:line="297" w:lineRule="auto"/>
        <w:tabs>
          <w:tab w:leader="none" w:pos="1895" w:val="left"/>
        </w:tabs>
        <w:numPr>
          <w:ilvl w:val="1"/>
          <w:numId w:val="173"/>
        </w:numPr>
        <w:rPr>
          <w:rFonts w:ascii="Arial" w:cs="Arial" w:eastAsia="Arial" w:hAnsi="Arial"/>
          <w:sz w:val="15"/>
          <w:szCs w:val="15"/>
          <w:color w:val="auto"/>
        </w:rPr>
      </w:pPr>
      <w:r>
        <w:rPr>
          <w:rFonts w:ascii="Arial" w:cs="Arial" w:eastAsia="Arial" w:hAnsi="Arial"/>
          <w:sz w:val="15"/>
          <w:szCs w:val="15"/>
          <w:i w:val="1"/>
          <w:iCs w:val="1"/>
          <w:color w:val="auto"/>
        </w:rPr>
        <w:t>Transfers from Abbott Performance Incentive Plan and Management Incentive Plan</w:t>
      </w:r>
      <w:r>
        <w:rPr>
          <w:rFonts w:ascii="Arial" w:cs="Arial" w:eastAsia="Arial" w:hAnsi="Arial"/>
          <w:sz w:val="15"/>
          <w:szCs w:val="15"/>
          <w:color w:val="auto"/>
        </w:rPr>
        <w:t>. As of or as soon as practicable after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Distribution Date, the Parties shall cooperate to cause the accounts of AbbVie Employees and AbbVie LTD Participants participating in the Abbott Performance Incentive Plan or the Abbott Management Incentive Plan to be transferred to the corresponding AbbVie plan established under </w:t>
      </w:r>
      <w:r>
        <w:rPr>
          <w:rFonts w:ascii="Arial" w:cs="Arial" w:eastAsia="Arial" w:hAnsi="Arial"/>
          <w:sz w:val="15"/>
          <w:szCs w:val="15"/>
          <w:u w:val="single" w:color="auto"/>
          <w:color w:val="auto"/>
        </w:rPr>
        <w:t>Section 6.04(a)</w:t>
      </w:r>
      <w:r>
        <w:rPr>
          <w:rFonts w:ascii="Arial" w:cs="Arial" w:eastAsia="Arial" w:hAnsi="Arial"/>
          <w:sz w:val="15"/>
          <w:szCs w:val="15"/>
          <w:color w:val="auto"/>
        </w:rPr>
        <w:t>. AbbVie shall</w:t>
      </w:r>
    </w:p>
    <w:p>
      <w:pPr>
        <w:jc w:val="both"/>
        <w:ind w:right="60" w:firstLine="5"/>
        <w:spacing w:after="0" w:line="261" w:lineRule="auto"/>
        <w:tabs>
          <w:tab w:leader="none" w:pos="20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credit each such AbbVie Employee’s or AbbVie LTD Participant’s account with (A) the amount in such AbbVie Employee’s account deferred by such AbbVie Employee into the Abbott Performance Incentive Plan or the Abbott Management Incentive Plan as of the Distribution Date, plus (B) any employer contributions, whether vested or unvested, in relation to the amount described in (A), including, in each case, any earnings thereon, and (ii) recognize and honor all deferral and distribution elections made by such individual. No AbbVie Employee shall participate in or accrue any benefits under the Abbott Performance Incentive Plan or the Abbott Management Incentive Plan on or after the Distribution Date.</w:t>
      </w:r>
    </w:p>
    <w:p>
      <w:pPr>
        <w:spacing w:after="0" w:line="183" w:lineRule="exact"/>
        <w:rPr>
          <w:rFonts w:ascii="Arial" w:cs="Arial" w:eastAsia="Arial" w:hAnsi="Arial"/>
          <w:sz w:val="17"/>
          <w:szCs w:val="17"/>
          <w:color w:val="auto"/>
        </w:rPr>
      </w:pPr>
    </w:p>
    <w:p>
      <w:pPr>
        <w:ind w:right="20" w:firstLine="1263"/>
        <w:spacing w:after="0" w:line="262" w:lineRule="auto"/>
        <w:tabs>
          <w:tab w:leader="none" w:pos="1898" w:val="left"/>
        </w:tabs>
        <w:numPr>
          <w:ilvl w:val="1"/>
          <w:numId w:val="174"/>
        </w:numPr>
        <w:rPr>
          <w:rFonts w:ascii="Arial" w:cs="Arial" w:eastAsia="Arial" w:hAnsi="Arial"/>
          <w:sz w:val="17"/>
          <w:szCs w:val="17"/>
          <w:color w:val="auto"/>
        </w:rPr>
      </w:pPr>
      <w:r>
        <w:rPr>
          <w:rFonts w:ascii="Arial" w:cs="Arial" w:eastAsia="Arial" w:hAnsi="Arial"/>
          <w:sz w:val="17"/>
          <w:szCs w:val="17"/>
          <w:i w:val="1"/>
          <w:iCs w:val="1"/>
          <w:color w:val="auto"/>
        </w:rPr>
        <w:t>Performance Incentive Plan and Management Incentive Plan Liabilities</w:t>
      </w:r>
      <w:r>
        <w:rPr>
          <w:rFonts w:ascii="Arial" w:cs="Arial" w:eastAsia="Arial" w:hAnsi="Arial"/>
          <w:sz w:val="17"/>
          <w:szCs w:val="17"/>
          <w:color w:val="auto"/>
        </w:rPr>
        <w:t>. As of the Distribution Date, AbbVie shall, and shall 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Performance Incentive Plan or the AbbVie Management Incentive Plan, as applicable, to assume all Liabilities for all obligations under the Abbott Performance Incentive Plan or the Abbott Management Incentive Plan, as applicable, for the benefits of AbbVie Employees and AbbVie LTD Participants determined as of the Distribution Date, and Abbott and the Abbott Performance Incentive Plan or the Abbott Management Incentive Plan, as applicable, shall be relieved of all Liabilities for those benefits. Abbott shall retain the Liabilities for all obligations under the Abbott Performance Incentive Plan or the Abbott Management Incentive Plan for the benefits for Abbott Retained Employees and Former Employees (other than AbbVie LTD Participants), but shall share with AbbVie the cost of benefits provided to Former Employees (other than LTD Participants) under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Abbott Performance Incentive Plan or the Abbott Management Incentive Plan in accordance with procedures mutually agreed to by the Parties.</w:t>
      </w:r>
    </w:p>
    <w:p>
      <w:pPr>
        <w:spacing w:after="0" w:line="22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Directors’ Fee Plan</w:t>
      </w:r>
      <w:r>
        <w:rPr>
          <w:rFonts w:ascii="Arial" w:cs="Arial" w:eastAsia="Arial" w:hAnsi="Arial"/>
          <w:sz w:val="17"/>
          <w:szCs w:val="17"/>
          <w:color w:val="auto"/>
        </w:rPr>
        <w:t>. Effective as of or before the Distribution Date, AbbVie shall establish the AbbVie Directors’ Fee Plan, with terms and funding arrangements substantially similar to those of the Abbott Directors’ Fee Plan as of the Distribution Date. Abbott shall retain the Liabilities for all obligations under the Abbott Directors’ Fee Plan, but shall share with AbbVie the cost of benefits provided thereunder to any individuals in respect of service prior to the Distribution Date in accordance with procedures mutually agreed to by the Parties. Each participant in the Abbott Directors’ Fee Plan with an outstanding Stock Account (as defined in the Abbott Directors’ Fee Plan) balance as of the Distribution Date, shall, as of the Distribution Date, be credited under such plan with notional shares of AbbVie Common Stock in an amount determined by applying the Distribution Ratio in the same manner as if the Common Stock Units (as defined in the Abbott Directors’ Fee Plan) in such Stock Account were actual Abbott Common Shares. The notional shares of AbbVie Common Stock so credited shall be subject to substantially the same terms and conditions that apply to the Common Stock Units, except that they shall relate to shares of AbbVie Common Stock rather than to Abbott Common Shares.</w:t>
      </w:r>
    </w:p>
    <w:p>
      <w:pPr>
        <w:spacing w:after="0" w:line="18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Grantor Trusts</w:t>
      </w:r>
      <w:r>
        <w:rPr>
          <w:rFonts w:ascii="Arial" w:cs="Arial" w:eastAsia="Arial" w:hAnsi="Arial"/>
          <w:sz w:val="17"/>
          <w:szCs w:val="17"/>
          <w:color w:val="auto"/>
        </w:rPr>
        <w:t>. Certain Transferred Employees and AbbVie LTD Participants who are participating in the Abbott SERP, the Abbott KSP, the Abbott Performance Incentive Plan, and/or the Abbott Management Incentive Plan, as applicable, have established grantor trusts in connection with such plans. Prior to the Distribution Date, the Parties shall use their commercially reasonable best efforts to cause each grantor trust under such plans to be amended to provide that (a) AbbVie is the administrator of such trust and (b) distribution of amounts under such trusts is made by reference to termination of employment with the AbbVie Group and not termination of employment with the Abbott Group.</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PUERTO RICO PLANS</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Puerto Rico Retirement Plans</w:t>
      </w:r>
      <w:r>
        <w:rPr>
          <w:rFonts w:ascii="Arial" w:cs="Arial" w:eastAsia="Arial" w:hAnsi="Arial"/>
          <w:sz w:val="17"/>
          <w:szCs w:val="17"/>
          <w:i w:val="1"/>
          <w:iCs w:val="1"/>
          <w:color w:val="auto"/>
        </w:rPr>
        <w:t>.</w:t>
      </w:r>
    </w:p>
    <w:p>
      <w:pPr>
        <w:spacing w:after="0" w:line="224" w:lineRule="exact"/>
        <w:rPr>
          <w:sz w:val="20"/>
          <w:szCs w:val="20"/>
          <w:color w:val="auto"/>
        </w:rPr>
      </w:pPr>
    </w:p>
    <w:p>
      <w:pPr>
        <w:ind w:right="120" w:firstLine="1263"/>
        <w:spacing w:after="0" w:line="273" w:lineRule="auto"/>
        <w:tabs>
          <w:tab w:leader="none" w:pos="189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Retention of Plan Sponsorship by AbbVie PR</w:t>
      </w:r>
      <w:r>
        <w:rPr>
          <w:rFonts w:ascii="Arial" w:cs="Arial" w:eastAsia="Arial" w:hAnsi="Arial"/>
          <w:sz w:val="17"/>
          <w:szCs w:val="17"/>
          <w:color w:val="auto"/>
        </w:rPr>
        <w:t>. Effective as of the Distribution Date, AbbVie PR shall continue sponsorship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PR Pension Plan. The plan and the related trust agreement shall be amended, effective as of or prior to the Distribution Date, to reflect the name change, and to make other changes to effectuate such sponsorship continuation.</w:t>
      </w:r>
    </w:p>
    <w:p>
      <w:pPr>
        <w:spacing w:after="0" w:line="171" w:lineRule="exact"/>
        <w:rPr>
          <w:rFonts w:ascii="Arial" w:cs="Arial" w:eastAsia="Arial" w:hAnsi="Arial"/>
          <w:sz w:val="17"/>
          <w:szCs w:val="17"/>
          <w:color w:val="auto"/>
        </w:rPr>
      </w:pPr>
    </w:p>
    <w:p>
      <w:pPr>
        <w:ind w:right="120" w:firstLine="1263"/>
        <w:spacing w:after="0" w:line="326" w:lineRule="auto"/>
        <w:tabs>
          <w:tab w:leader="none" w:pos="1895"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 xml:space="preserve">Establishment of the Abbott PR Retirement Plan – New. </w:t>
      </w:r>
      <w:r>
        <w:rPr>
          <w:rFonts w:ascii="Arial" w:cs="Arial" w:eastAsia="Arial" w:hAnsi="Arial"/>
          <w:sz w:val="15"/>
          <w:szCs w:val="15"/>
          <w:color w:val="auto"/>
        </w:rPr>
        <w:t>Effective as of or before the Distribution Date, Abbott PR shall establish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Abbott PR Retirement Plan </w:t>
      </w:r>
      <w:r>
        <w:rPr>
          <w:rFonts w:ascii="Arial" w:cs="Arial" w:eastAsia="Arial" w:hAnsi="Arial"/>
          <w:sz w:val="15"/>
          <w:szCs w:val="15"/>
          <w:i w:val="1"/>
          <w:iCs w:val="1"/>
          <w:color w:val="auto"/>
        </w:rPr>
        <w:t>–</w:t>
      </w:r>
      <w:r>
        <w:rPr>
          <w:rFonts w:ascii="Arial" w:cs="Arial" w:eastAsia="Arial" w:hAnsi="Arial"/>
          <w:sz w:val="15"/>
          <w:szCs w:val="15"/>
          <w:color w:val="auto"/>
        </w:rPr>
        <w:t xml:space="preserve"> New, which shall be substantially similar to, and shall include a benefit formula that is the same as the benefit formula in effect under, the AbbVie PR Pension Plan as of the Distribution Date. As soon as practicable after the Distribution Date and upon receipt by AbbVie PR of (i) a copy of</w:t>
      </w:r>
    </w:p>
    <w:p>
      <w:pPr>
        <w:sectPr>
          <w:pgSz w:w="11900" w:h="16838" w:orient="portrait"/>
          <w:cols w:equalWidth="0" w:num="1">
            <w:col w:w="11400"/>
          </w:cols>
          <w:pgMar w:left="240" w:top="127" w:right="259" w:bottom="0" w:gutter="0" w:footer="0" w:header="0"/>
        </w:sectPr>
      </w:pPr>
    </w:p>
    <w:bookmarkStart w:id="64" w:name="page65"/>
    <w:bookmarkEnd w:id="64"/>
    <w:p>
      <w:pPr>
        <w:ind w:right="520"/>
        <w:spacing w:after="0" w:line="322" w:lineRule="auto"/>
        <w:rPr>
          <w:sz w:val="20"/>
          <w:szCs w:val="20"/>
          <w:color w:val="auto"/>
        </w:rPr>
      </w:pPr>
      <w:r>
        <w:rPr>
          <w:rFonts w:ascii="Arial" w:cs="Arial" w:eastAsia="Arial" w:hAnsi="Arial"/>
          <w:sz w:val="16"/>
          <w:szCs w:val="16"/>
          <w:color w:val="auto"/>
        </w:rPr>
        <w:t xml:space="preserve">the Abbott PR Retirement Plan - New; (ii) copies of certified resolutions of the Abbott PR board of directors (or its authorized committee or other delegate) evidencing adoption of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and any related trust(s) and the assumption by the Abbott PR Retirement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of the Liabilities described in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and (iii) either (A) a favorable determination letter issued by the Secretary of Treasury of Puerto Rico with respect to the Abbott PR Retirement Plan - New and any related trust, or (B) an opinion of counsel, which counsel and opinion are reasonably satisfactory to AbbVie PR, with respect to the qualified status of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and the tax-exempt status of its related trust under Section 1081.01 (a) of the PR Code, AbbVie PR shall direct the trustee of the AbbVie PR Pension Plan trust to transfer from the trust(s) which forms a part of the AbbVie PR Pension Plan to the trust(s) which forms a part of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the amounts described in </w:t>
      </w:r>
      <w:r>
        <w:rPr>
          <w:rFonts w:ascii="Arial" w:cs="Arial" w:eastAsia="Arial" w:hAnsi="Arial"/>
          <w:sz w:val="16"/>
          <w:szCs w:val="16"/>
          <w:u w:val="single" w:color="auto"/>
          <w:color w:val="auto"/>
        </w:rPr>
        <w:t>Section 7.01(c)(i)</w:t>
      </w:r>
      <w:r>
        <w:rPr>
          <w:rFonts w:ascii="Arial" w:cs="Arial" w:eastAsia="Arial" w:hAnsi="Arial"/>
          <w:sz w:val="16"/>
          <w:szCs w:val="16"/>
          <w:color w:val="auto"/>
        </w:rPr>
        <w:t>.</w:t>
      </w:r>
    </w:p>
    <w:p>
      <w:pPr>
        <w:spacing w:after="0" w:line="166" w:lineRule="exact"/>
        <w:rPr>
          <w:sz w:val="20"/>
          <w:szCs w:val="20"/>
          <w:color w:val="auto"/>
        </w:rPr>
      </w:pPr>
    </w:p>
    <w:p>
      <w:pPr>
        <w:ind w:left="1860" w:hanging="597"/>
        <w:spacing w:after="0"/>
        <w:tabs>
          <w:tab w:leader="none" w:pos="186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Transfer of Assets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76" w:lineRule="auto"/>
        <w:tabs>
          <w:tab w:leader="none" w:pos="2509"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As of the Distribution Date, Abbott PR shall cause the Abbott PR Retirement Plan - New to accept Assets and assume all Liabilities under the AbbVie PR Pension Plan for Abbott Retained Employees and Abbott LTD Participants (including Assets and Liabilities in respect of beneficiaries and/or alternate payees), and the AbbVie PR Pension Plan shall transfer all such Assets and be relieved of such Liabilities. The amount of Assets to be transferred from the AbbVie PR Pension Plan to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in such transfer shall be determined as of the Distribution Date in accordance with, and shall comply with, ERISA Section 208 and, to the extent deemed applicable by Abbott PR and AbbVie PR, ERISA Section 4044. Assumptions used to determine the value (or amount) of the Assets to be transferred shall be the safe harbor assumptions specified for valuing benefits in trusteed plans under Department of Labor Regulations Section 4044.51-57 and, to the extent not so specified, shall be based on the assumptions used in the annual valuation report most recently prepared prior to the transfer by the actuary for the AbbVie PR Pension Plan. The transfer amount described above shall be credited or debited, as applicable, with a pro rata share of the actual investment earnings or losses allocable to the transfer amount for the period between the Distribution Date and an assessment date set by AbbVie PR that is as close as practicable, taking into account the timing and reporting of valuation of assets in the AbbVie PR Pension Plan trust to the date upon which Assets equal in value to the transfer amount are actually transferred from the AbbVie PR Pension Plan to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During the time prior to such transfer, benefits for Abbott Retained Employees who terminate employment with the Abbott Group and for Abbott LTD Participants shall be paid from the AbbVie PR Pension Plan. The ultimate transfer amount shall be reduced by the amount of these benefits and credited or debited by the actual investment earnings or losses from the payment date to the assessment date set by AbbVie PR above. In addition, during this period, Abbott PR will be responsible for a pro rata share of trustee and administration fees attributable to the AbbVie PR Pension Plan. The entries in the AbbVie PR Pension Plan funding standard account shall be divided among the AbbVie PR Pension Plan and the Abbott PR Retirement Plan </w:t>
      </w:r>
      <w:r>
        <w:rPr>
          <w:rFonts w:ascii="Arial" w:cs="Arial" w:eastAsia="Arial" w:hAnsi="Arial"/>
          <w:sz w:val="16"/>
          <w:szCs w:val="16"/>
          <w:i w:val="1"/>
          <w:iCs w:val="1"/>
          <w:color w:val="auto"/>
        </w:rPr>
        <w:t>–</w:t>
      </w:r>
      <w:r>
        <w:rPr>
          <w:rFonts w:ascii="Arial" w:cs="Arial" w:eastAsia="Arial" w:hAnsi="Arial"/>
          <w:sz w:val="16"/>
          <w:szCs w:val="16"/>
          <w:color w:val="auto"/>
        </w:rPr>
        <w:t xml:space="preserve"> New based on the guidance provided in Revenue Ruling 81-212 and 86-47.</w:t>
      </w:r>
    </w:p>
    <w:p>
      <w:pPr>
        <w:spacing w:after="0" w:line="176" w:lineRule="exact"/>
        <w:rPr>
          <w:rFonts w:ascii="Arial" w:cs="Arial" w:eastAsia="Arial" w:hAnsi="Arial"/>
          <w:sz w:val="16"/>
          <w:szCs w:val="16"/>
          <w:color w:val="auto"/>
        </w:rPr>
      </w:pPr>
    </w:p>
    <w:p>
      <w:pPr>
        <w:ind w:left="2520" w:hanging="627"/>
        <w:spacing w:after="0"/>
        <w:tabs>
          <w:tab w:leader="none" w:pos="25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Periodically, at such times as agreed upon by Abbott PR and AbbVie PR after the initial transfer described in </w:t>
      </w:r>
      <w:r>
        <w:rPr>
          <w:rFonts w:ascii="Arial" w:cs="Arial" w:eastAsia="Arial" w:hAnsi="Arial"/>
          <w:sz w:val="16"/>
          <w:szCs w:val="16"/>
          <w:u w:val="single" w:color="auto"/>
          <w:color w:val="auto"/>
        </w:rPr>
        <w:t>Section 7.01(c)</w:t>
      </w:r>
    </w:p>
    <w:p>
      <w:pPr>
        <w:spacing w:after="0" w:line="37" w:lineRule="exact"/>
        <w:rPr>
          <w:rFonts w:ascii="Arial" w:cs="Arial" w:eastAsia="Arial" w:hAnsi="Arial"/>
          <w:sz w:val="16"/>
          <w:szCs w:val="16"/>
          <w:color w:val="auto"/>
        </w:rPr>
      </w:pPr>
    </w:p>
    <w:p>
      <w:pPr>
        <w:ind w:left="640" w:right="120"/>
        <w:spacing w:after="0" w:line="275" w:lineRule="auto"/>
        <w:rPr>
          <w:rFonts w:ascii="Arial" w:cs="Arial" w:eastAsia="Arial" w:hAnsi="Arial"/>
          <w:sz w:val="16"/>
          <w:szCs w:val="16"/>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 xml:space="preserve">, (A) Abbott PR shall cause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to receive Assets and assume all Liabilities under the AbbVie PR Pension Plan for Employees who cease to be employed by AbbVie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2" w:lineRule="auto"/>
        <w:rPr>
          <w:sz w:val="20"/>
          <w:szCs w:val="20"/>
          <w:color w:val="auto"/>
        </w:rPr>
      </w:pPr>
      <w:r>
        <w:rPr>
          <w:rFonts w:ascii="Arial" w:cs="Arial" w:eastAsia="Arial" w:hAnsi="Arial"/>
          <w:sz w:val="17"/>
          <w:szCs w:val="17"/>
          <w:color w:val="auto"/>
        </w:rPr>
        <w:t xml:space="preserve">PR after the Distribution Date and become employed by Abbott PR during the Transition Period (including Assets and Liabilities in respect of beneficiaries or alternate payees) and the AbbVie PR Pension Plan shall transfer all such Assets and be relieved of such Liabilities, and (B) AbbVie PR shall cause the AbbVie PR Pension Plan to receive Assets and assume all Liabilities under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for Employees who cease to be employed by Abbott PR after the Distribution Date and become employed by AbbVie PR during the Transition Period (including Assets and Liabilities in respect of beneficiaries or alternate payees) and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shall transfer all such Assets and be relieved of such Liabilities. The amount of such Assets to be transferred shall be determined as provided in </w:t>
      </w:r>
      <w:r>
        <w:rPr>
          <w:rFonts w:ascii="Arial" w:cs="Arial" w:eastAsia="Arial" w:hAnsi="Arial"/>
          <w:sz w:val="17"/>
          <w:szCs w:val="17"/>
          <w:u w:val="single" w:color="auto"/>
          <w:color w:val="auto"/>
        </w:rPr>
        <w:t>Section 7.01(c)(i)</w:t>
      </w:r>
      <w:r>
        <w:rPr>
          <w:rFonts w:ascii="Arial" w:cs="Arial" w:eastAsia="Arial" w:hAnsi="Arial"/>
          <w:sz w:val="17"/>
          <w:szCs w:val="17"/>
          <w:color w:val="auto"/>
        </w:rPr>
        <w:t xml:space="preserve"> and shall be subject to the applicable provisions of </w:t>
      </w:r>
      <w:r>
        <w:rPr>
          <w:rFonts w:ascii="Arial" w:cs="Arial" w:eastAsia="Arial" w:hAnsi="Arial"/>
          <w:sz w:val="17"/>
          <w:szCs w:val="17"/>
          <w:u w:val="single" w:color="auto"/>
          <w:color w:val="auto"/>
        </w:rPr>
        <w:t>Section 7.01(c)(i)</w:t>
      </w:r>
      <w:r>
        <w:rPr>
          <w:rFonts w:ascii="Arial" w:cs="Arial" w:eastAsia="Arial" w:hAnsi="Arial"/>
          <w:sz w:val="17"/>
          <w:szCs w:val="17"/>
          <w:color w:val="auto"/>
        </w:rPr>
        <w:t>.</w:t>
      </w:r>
    </w:p>
    <w:p>
      <w:pPr>
        <w:spacing w:after="0" w:line="184" w:lineRule="exact"/>
        <w:rPr>
          <w:sz w:val="20"/>
          <w:szCs w:val="20"/>
          <w:color w:val="auto"/>
        </w:rPr>
      </w:pPr>
    </w:p>
    <w:p>
      <w:pPr>
        <w:ind w:left="1880" w:hanging="617"/>
        <w:spacing w:after="0"/>
        <w:tabs>
          <w:tab w:leader="none" w:pos="188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Abbott PR Retirement Plan - New Provisions</w:t>
      </w:r>
      <w:r>
        <w:rPr>
          <w:rFonts w:ascii="Arial" w:cs="Arial" w:eastAsia="Arial" w:hAnsi="Arial"/>
          <w:sz w:val="17"/>
          <w:szCs w:val="17"/>
          <w:color w:val="auto"/>
        </w:rPr>
        <w:t>. The Abbott PR Retirement Plan - New shall provide that:</w:t>
      </w:r>
    </w:p>
    <w:p>
      <w:pPr>
        <w:spacing w:after="0" w:line="224" w:lineRule="exact"/>
        <w:rPr>
          <w:rFonts w:ascii="Arial" w:cs="Arial" w:eastAsia="Arial" w:hAnsi="Arial"/>
          <w:sz w:val="17"/>
          <w:szCs w:val="17"/>
          <w:color w:val="auto"/>
        </w:rPr>
      </w:pPr>
    </w:p>
    <w:p>
      <w:pPr>
        <w:ind w:left="2500" w:hanging="607"/>
        <w:spacing w:after="0"/>
        <w:tabs>
          <w:tab w:leader="none" w:pos="250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Abbott Retained Employees and Abbott LTD Participants shall (A) be eligible to participate in the Abbott PR Retirement Plan</w:t>
      </w:r>
    </w:p>
    <w:p>
      <w:pPr>
        <w:spacing w:after="0" w:line="37" w:lineRule="exact"/>
        <w:rPr>
          <w:rFonts w:ascii="Arial" w:cs="Arial" w:eastAsia="Arial" w:hAnsi="Arial"/>
          <w:sz w:val="16"/>
          <w:szCs w:val="16"/>
          <w:color w:val="auto"/>
        </w:rPr>
      </w:pPr>
    </w:p>
    <w:p>
      <w:pPr>
        <w:ind w:left="640" w:right="100"/>
        <w:spacing w:after="0" w:line="266" w:lineRule="auto"/>
        <w:rPr>
          <w:rFonts w:ascii="Arial" w:cs="Arial" w:eastAsia="Arial" w:hAnsi="Arial"/>
          <w:sz w:val="16"/>
          <w:szCs w:val="16"/>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New as of the Distribution Date to the extent they were eligible to participate in the AbbVie PR Pension Plan immediately prior to the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and (B) receive credit for vesting, eligibility and benefit service for all service credited for those purposes under the AbbVie PR Pension Plan as of the Distribution Date as if that service had been rendered to Abbott PR;</w:t>
      </w:r>
    </w:p>
    <w:p>
      <w:pPr>
        <w:spacing w:after="0" w:line="177" w:lineRule="exact"/>
        <w:rPr>
          <w:rFonts w:ascii="Arial" w:cs="Arial" w:eastAsia="Arial" w:hAnsi="Arial"/>
          <w:sz w:val="16"/>
          <w:szCs w:val="16"/>
          <w:color w:val="auto"/>
        </w:rPr>
      </w:pPr>
    </w:p>
    <w:p>
      <w:pPr>
        <w:ind w:left="640" w:right="200" w:firstLine="1253"/>
        <w:spacing w:after="0" w:line="273" w:lineRule="auto"/>
        <w:tabs>
          <w:tab w:leader="none" w:pos="2520" w:val="left"/>
        </w:tabs>
        <w:numPr>
          <w:ilvl w:val="2"/>
          <w:numId w:val="177"/>
        </w:numPr>
        <w:rPr>
          <w:rFonts w:ascii="Arial" w:cs="Arial" w:eastAsia="Arial" w:hAnsi="Arial"/>
          <w:sz w:val="17"/>
          <w:szCs w:val="17"/>
          <w:color w:val="auto"/>
        </w:rPr>
      </w:pPr>
      <w:r>
        <w:rPr>
          <w:rFonts w:ascii="Arial" w:cs="Arial" w:eastAsia="Arial" w:hAnsi="Arial"/>
          <w:sz w:val="17"/>
          <w:szCs w:val="17"/>
          <w:color w:val="auto"/>
        </w:rPr>
        <w:t xml:space="preserve">the compensation paid by the Abbott Group to an Abbott Retained Employee or to an Abbott LTD Participant that is recognized under the AbbVie PR Pension Plan as of the Distribution Date shall be credited and recognized for all applicable purposes under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w:t>
      </w:r>
    </w:p>
    <w:p>
      <w:pPr>
        <w:spacing w:after="0" w:line="171" w:lineRule="exact"/>
        <w:rPr>
          <w:rFonts w:ascii="Arial" w:cs="Arial" w:eastAsia="Arial" w:hAnsi="Arial"/>
          <w:sz w:val="17"/>
          <w:szCs w:val="17"/>
          <w:color w:val="auto"/>
        </w:rPr>
      </w:pPr>
    </w:p>
    <w:p>
      <w:pPr>
        <w:jc w:val="both"/>
        <w:ind w:left="640" w:firstLine="1253"/>
        <w:spacing w:after="0" w:line="265" w:lineRule="auto"/>
        <w:tabs>
          <w:tab w:leader="none" w:pos="2532" w:val="left"/>
        </w:tabs>
        <w:numPr>
          <w:ilvl w:val="2"/>
          <w:numId w:val="177"/>
        </w:numPr>
        <w:rPr>
          <w:rFonts w:ascii="Arial" w:cs="Arial" w:eastAsia="Arial" w:hAnsi="Arial"/>
          <w:sz w:val="17"/>
          <w:szCs w:val="17"/>
          <w:color w:val="auto"/>
        </w:rPr>
      </w:pPr>
      <w:r>
        <w:rPr>
          <w:rFonts w:ascii="Arial" w:cs="Arial" w:eastAsia="Arial" w:hAnsi="Arial"/>
          <w:sz w:val="17"/>
          <w:szCs w:val="17"/>
          <w:color w:val="auto"/>
        </w:rPr>
        <w:t xml:space="preserve">the accrued benefit of each Abbott Retained Employee and each Abbott LTD Participant under the AbbVie PR Pension Plan as of the Distribution Date shall be payable under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at the time and in a form that would have been permitted under the AbbVie PR Pension Plan as in effect as of the Distribution Date, with employment by the Abbott Group prior to the Distribution Date credited under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for purposes of determining eligibility for optional forms of benefit, early retirement benefits, or other benefit forms; and</w:t>
      </w:r>
    </w:p>
    <w:p>
      <w:pPr>
        <w:spacing w:after="0" w:line="179" w:lineRule="exact"/>
        <w:rPr>
          <w:rFonts w:ascii="Arial" w:cs="Arial" w:eastAsia="Arial" w:hAnsi="Arial"/>
          <w:sz w:val="17"/>
          <w:szCs w:val="17"/>
          <w:color w:val="auto"/>
        </w:rPr>
      </w:pPr>
    </w:p>
    <w:p>
      <w:pPr>
        <w:ind w:left="640" w:right="60" w:firstLine="1253"/>
        <w:spacing w:after="0" w:line="289" w:lineRule="auto"/>
        <w:tabs>
          <w:tab w:leader="none" w:pos="2522" w:val="left"/>
        </w:tabs>
        <w:numPr>
          <w:ilvl w:val="2"/>
          <w:numId w:val="177"/>
        </w:numPr>
        <w:rPr>
          <w:rFonts w:ascii="Arial" w:cs="Arial" w:eastAsia="Arial" w:hAnsi="Arial"/>
          <w:sz w:val="17"/>
          <w:szCs w:val="17"/>
          <w:color w:val="auto"/>
        </w:rPr>
      </w:pPr>
      <w:r>
        <w:rPr>
          <w:rFonts w:ascii="Arial" w:cs="Arial" w:eastAsia="Arial" w:hAnsi="Arial"/>
          <w:sz w:val="17"/>
          <w:szCs w:val="17"/>
          <w:color w:val="auto"/>
        </w:rPr>
        <w:t xml:space="preserve">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shall assume and honor the terms of all QDROs in effect under the AbbVie PR Pension Plan as of the Distribution Date with respect to Abbott Retained Employees and Abbott LTD Participants.</w:t>
      </w:r>
    </w:p>
    <w:p>
      <w:pPr>
        <w:spacing w:after="0" w:line="158" w:lineRule="exact"/>
        <w:rPr>
          <w:rFonts w:ascii="Arial" w:cs="Arial" w:eastAsia="Arial" w:hAnsi="Arial"/>
          <w:sz w:val="17"/>
          <w:szCs w:val="17"/>
          <w:color w:val="auto"/>
        </w:rPr>
      </w:pPr>
    </w:p>
    <w:p>
      <w:pPr>
        <w:ind w:right="60" w:firstLine="1263"/>
        <w:spacing w:after="0" w:line="265" w:lineRule="auto"/>
        <w:tabs>
          <w:tab w:leader="none" w:pos="1861"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Determination Letter Request</w:t>
      </w:r>
      <w:r>
        <w:rPr>
          <w:rFonts w:ascii="Arial" w:cs="Arial" w:eastAsia="Arial" w:hAnsi="Arial"/>
          <w:sz w:val="17"/>
          <w:szCs w:val="17"/>
          <w:color w:val="auto"/>
        </w:rPr>
        <w:t>. Abbott PR shall submit an application to the Puerto Rico Secretary of Treasury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the Distribution Date (but no later than the last day of the required amendment period as provided in applicable PR Code provisions) for a determination letter regarding the qualification of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 and the tax status of its related trust as of the Distribution Date and shall make any amendments reasonably requested by the Puerto Rico Secretary of Treasury to receive a favorable determination letter regarding the Abbott PR Retirement Plan </w:t>
      </w:r>
      <w:r>
        <w:rPr>
          <w:rFonts w:ascii="Arial" w:cs="Arial" w:eastAsia="Arial" w:hAnsi="Arial"/>
          <w:sz w:val="17"/>
          <w:szCs w:val="17"/>
          <w:i w:val="1"/>
          <w:iCs w:val="1"/>
          <w:color w:val="auto"/>
        </w:rPr>
        <w:t>–</w:t>
      </w:r>
      <w:r>
        <w:rPr>
          <w:rFonts w:ascii="Arial" w:cs="Arial" w:eastAsia="Arial" w:hAnsi="Arial"/>
          <w:sz w:val="17"/>
          <w:szCs w:val="17"/>
          <w:color w:val="auto"/>
        </w:rPr>
        <w:t xml:space="preserve"> New.</w:t>
      </w:r>
    </w:p>
    <w:p>
      <w:pPr>
        <w:sectPr>
          <w:pgSz w:w="11900" w:h="16838" w:orient="portrait"/>
          <w:cols w:equalWidth="0" w:num="1">
            <w:col w:w="11400"/>
          </w:cols>
          <w:pgMar w:left="240" w:top="127" w:right="259" w:bottom="126"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26" w:gutter="0" w:footer="0" w:header="0"/>
          <w:type w:val="continuous"/>
        </w:sectPr>
      </w:pPr>
    </w:p>
    <w:bookmarkStart w:id="65" w:name="page66"/>
    <w:bookmarkEnd w:id="65"/>
    <w:p>
      <w:pPr>
        <w:ind w:firstLine="1263"/>
        <w:spacing w:after="0" w:line="265" w:lineRule="auto"/>
        <w:tabs>
          <w:tab w:leader="none" w:pos="1879"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AbbVie PR Pension Plan after Distribution Date</w:t>
      </w:r>
      <w:r>
        <w:rPr>
          <w:rFonts w:ascii="Arial" w:cs="Arial" w:eastAsia="Arial" w:hAnsi="Arial"/>
          <w:sz w:val="17"/>
          <w:szCs w:val="17"/>
          <w:color w:val="auto"/>
        </w:rPr>
        <w:t>. From and after the Distribution Date, (i) the AbbVie PR Pension Plan shall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to be responsible for Liabilities in respect of AbbVie Employees and Former Employees (other than Abbott LTD Participants), and (ii) no Employees of the Abbott Group, including Abbott Retained Employees and Abbott LTD Participants, shall accrue any benefits under the AbbVie PR Pension Plan. Without limiting the generality of the foregoing, Abbott Retained Employees and Abbott LTD Participants shall cease to be active participants in the AbbVie PR Pension Plan effective as of the Distribution Date.</w:t>
      </w:r>
    </w:p>
    <w:p>
      <w:pPr>
        <w:spacing w:after="0" w:line="179" w:lineRule="exact"/>
        <w:rPr>
          <w:rFonts w:ascii="Arial" w:cs="Arial" w:eastAsia="Arial" w:hAnsi="Arial"/>
          <w:sz w:val="17"/>
          <w:szCs w:val="17"/>
          <w:color w:val="auto"/>
        </w:rPr>
      </w:pPr>
    </w:p>
    <w:p>
      <w:pPr>
        <w:ind w:right="140" w:firstLine="1263"/>
        <w:spacing w:after="0" w:line="326" w:lineRule="auto"/>
        <w:tabs>
          <w:tab w:leader="none" w:pos="1870"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Plan Fiduciaries</w:t>
      </w:r>
      <w:r>
        <w:rPr>
          <w:rFonts w:ascii="Arial" w:cs="Arial" w:eastAsia="Arial" w:hAnsi="Arial"/>
          <w:sz w:val="15"/>
          <w:szCs w:val="15"/>
          <w:color w:val="auto"/>
        </w:rPr>
        <w:t>. For all periods after the Distribution Date, the Parties agree that the applicable fiduciaries of each of the AbbVie PR</w:t>
      </w:r>
      <w:r>
        <w:rPr>
          <w:rFonts w:ascii="Arial" w:cs="Arial" w:eastAsia="Arial" w:hAnsi="Arial"/>
          <w:sz w:val="15"/>
          <w:szCs w:val="15"/>
          <w:i w:val="1"/>
          <w:iCs w:val="1"/>
          <w:color w:val="auto"/>
        </w:rPr>
        <w:t xml:space="preserve"> </w:t>
      </w:r>
      <w:r>
        <w:rPr>
          <w:rFonts w:ascii="Arial" w:cs="Arial" w:eastAsia="Arial" w:hAnsi="Arial"/>
          <w:sz w:val="15"/>
          <w:szCs w:val="15"/>
          <w:color w:val="auto"/>
        </w:rPr>
        <w:t>Pension Plan and the Abbott PR Retirement Plan - New, respectively, shall have the authority with respect to the AbbVie PR Pension Plan and the Abbott PR Retirement Plan - New, respectively, to determine the plan investments and such other matters as are within the scope of their duties under ERISA Section 404.</w:t>
      </w:r>
    </w:p>
    <w:p>
      <w:pPr>
        <w:spacing w:after="0" w:line="136" w:lineRule="exact"/>
        <w:rPr>
          <w:rFonts w:ascii="Arial" w:cs="Arial" w:eastAsia="Arial" w:hAnsi="Arial"/>
          <w:sz w:val="15"/>
          <w:szCs w:val="15"/>
          <w:color w:val="auto"/>
        </w:rPr>
      </w:pPr>
    </w:p>
    <w:p>
      <w:pPr>
        <w:ind w:right="80" w:firstLine="1263"/>
        <w:spacing w:after="0" w:line="298" w:lineRule="auto"/>
        <w:tabs>
          <w:tab w:leader="none" w:pos="187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No Loss of Unvested Benefits; No Distributions</w:t>
      </w:r>
      <w:r>
        <w:rPr>
          <w:rFonts w:ascii="Arial" w:cs="Arial" w:eastAsia="Arial" w:hAnsi="Arial"/>
          <w:sz w:val="16"/>
          <w:szCs w:val="16"/>
          <w:color w:val="auto"/>
        </w:rPr>
        <w:t>. The transfer of any Abbott Retained Employee’s employment to Abbott PR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loss of that Employee’s unvested benefits under the AbbVie PR Pension Plan or the Abbott PR Retirement Plan - New and no Abbott Retained Employee shall be entitled to a distribution of his or her benefit under the AbbVie PR Pension Plan as a result of such transfer of employment.</w:t>
      </w:r>
    </w:p>
    <w:p>
      <w:pPr>
        <w:spacing w:after="0" w:line="154"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5"/>
          <w:szCs w:val="15"/>
          <w:u w:val="single" w:color="auto"/>
          <w:color w:val="auto"/>
        </w:rPr>
        <w:t>Puerto Rico Stock Retirement/Savings Plans</w:t>
      </w:r>
      <w:r>
        <w:rPr>
          <w:rFonts w:ascii="Arial" w:cs="Arial" w:eastAsia="Arial" w:hAnsi="Arial"/>
          <w:sz w:val="15"/>
          <w:szCs w:val="15"/>
          <w:color w:val="auto"/>
        </w:rPr>
        <w:t>.</w:t>
      </w:r>
    </w:p>
    <w:p>
      <w:pPr>
        <w:spacing w:after="0" w:line="224" w:lineRule="exact"/>
        <w:rPr>
          <w:sz w:val="20"/>
          <w:szCs w:val="20"/>
          <w:color w:val="auto"/>
        </w:rPr>
      </w:pPr>
    </w:p>
    <w:p>
      <w:pPr>
        <w:ind w:right="220" w:firstLine="1263"/>
        <w:spacing w:after="0" w:line="273" w:lineRule="auto"/>
        <w:tabs>
          <w:tab w:leader="none" w:pos="1861"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Retention of Plan Sponsorship by AbbVie PR</w:t>
      </w:r>
      <w:r>
        <w:rPr>
          <w:rFonts w:ascii="Arial" w:cs="Arial" w:eastAsia="Arial" w:hAnsi="Arial"/>
          <w:sz w:val="17"/>
          <w:szCs w:val="17"/>
          <w:color w:val="auto"/>
        </w:rPr>
        <w:t>. Effective as of the Distribution Date, AbbVie PR shall continue sponsorship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PR Savings Plan. The plan and the related trust agreement shall be amended, effective as of or before the Distribution Date, to reflect the name change, and to make other changes to effectuate such sponsorship continuation.</w:t>
      </w:r>
    </w:p>
    <w:p>
      <w:pPr>
        <w:spacing w:after="0" w:line="171" w:lineRule="exact"/>
        <w:rPr>
          <w:rFonts w:ascii="Arial" w:cs="Arial" w:eastAsia="Arial" w:hAnsi="Arial"/>
          <w:sz w:val="17"/>
          <w:szCs w:val="17"/>
          <w:color w:val="auto"/>
        </w:rPr>
      </w:pPr>
    </w:p>
    <w:p>
      <w:pPr>
        <w:ind w:right="20" w:firstLine="1263"/>
        <w:spacing w:after="0" w:line="262" w:lineRule="auto"/>
        <w:tabs>
          <w:tab w:leader="none" w:pos="1870"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Establishment of the Abbott PR SRP - New. </w:t>
      </w:r>
      <w:r>
        <w:rPr>
          <w:rFonts w:ascii="Arial" w:cs="Arial" w:eastAsia="Arial" w:hAnsi="Arial"/>
          <w:sz w:val="17"/>
          <w:szCs w:val="17"/>
          <w:color w:val="auto"/>
        </w:rPr>
        <w:t>Effective as of or before the Distribution Date, Abbott PR shall establish the Abbott PR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SRP - New. As of the Distribution Date, the terms of the Abbott PR SRP - New shall be substantially similar to the terms of the AbbVie PR Savings Plan as of the Distribution Date. On or prior to the Distribution Date, Abbott PR shall provide AbbVie PR with (i) a copy of the Abbott PR SRP - New; (ii) a copy of certified resolutions of the Abbott PR Board of Directors (or its authorized committee or other delegate) evidencing adoption of the Abbott PR SRP - New and the related trust(s) and the assumption by the Abbott PR SRP - New of the Liabilities described in </w:t>
      </w:r>
      <w:r>
        <w:rPr>
          <w:rFonts w:ascii="Arial" w:cs="Arial" w:eastAsia="Arial" w:hAnsi="Arial"/>
          <w:sz w:val="17"/>
          <w:szCs w:val="17"/>
          <w:u w:val="single" w:color="auto"/>
          <w:color w:val="auto"/>
        </w:rPr>
        <w:t>Section 7.02(c)</w:t>
      </w:r>
      <w:r>
        <w:rPr>
          <w:rFonts w:ascii="Arial" w:cs="Arial" w:eastAsia="Arial" w:hAnsi="Arial"/>
          <w:sz w:val="17"/>
          <w:szCs w:val="17"/>
          <w:color w:val="auto"/>
        </w:rPr>
        <w:t xml:space="preserve"> hereof; and (iii) either (A) a favorable determination letter issued by the Puerto Rico Secretary of Treasury with respect to the Abbott PR SRP - New and its related trust or (B) an opinion of counsel, which counsel and opinion are reasonably satisfactory to AbbVie PR, with respect to the qualified status of the Abbott PR SRP - New and the tax-exempt status of its related trust under PR Code Section 1081.01(a).</w:t>
      </w:r>
    </w:p>
    <w:p>
      <w:pPr>
        <w:spacing w:after="0" w:line="180" w:lineRule="exact"/>
        <w:rPr>
          <w:rFonts w:ascii="Arial" w:cs="Arial" w:eastAsia="Arial" w:hAnsi="Arial"/>
          <w:sz w:val="17"/>
          <w:szCs w:val="17"/>
          <w:color w:val="auto"/>
        </w:rPr>
      </w:pPr>
    </w:p>
    <w:p>
      <w:pPr>
        <w:ind w:right="160" w:firstLine="1263"/>
        <w:spacing w:after="0" w:line="273" w:lineRule="auto"/>
        <w:tabs>
          <w:tab w:leader="none" w:pos="1861"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Transfer of Account Balances</w:t>
      </w:r>
      <w:r>
        <w:rPr>
          <w:rFonts w:ascii="Arial" w:cs="Arial" w:eastAsia="Arial" w:hAnsi="Arial"/>
          <w:sz w:val="17"/>
          <w:szCs w:val="17"/>
          <w:color w:val="auto"/>
        </w:rPr>
        <w:t>. As soon as practicable after the Distribution Date, AbbVie PR shall cause the trustee of the AbbVie PR</w:t>
      </w:r>
      <w:r>
        <w:rPr>
          <w:rFonts w:ascii="Arial" w:cs="Arial" w:eastAsia="Arial" w:hAnsi="Arial"/>
          <w:sz w:val="17"/>
          <w:szCs w:val="17"/>
          <w:i w:val="1"/>
          <w:iCs w:val="1"/>
          <w:color w:val="auto"/>
        </w:rPr>
        <w:t xml:space="preserve"> </w:t>
      </w:r>
      <w:r>
        <w:rPr>
          <w:rFonts w:ascii="Arial" w:cs="Arial" w:eastAsia="Arial" w:hAnsi="Arial"/>
          <w:sz w:val="17"/>
          <w:szCs w:val="17"/>
          <w:color w:val="auto"/>
        </w:rPr>
        <w:t>Savings Plan to transfer from the trust(s) which forms a part of the AbbVie PR Savings Plan to the trust(s) which forms a part of the Abbott PR SRP - New amounts equal to the account balances of the Abbott Retained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Employees and Abbott LTD Participants (including account balances in respect of beneficiaries and alternate payees established in relation to such individuals) under the AbbVie PR Savings Plan, determined as of the date of the transfer. Such transfers shall be made in cash, Abbott Common Shares, shares of AbbVie Common Stock, promissory notes evidencing outstanding loans and other Assets or any combination thereof in cash or in kind, as instructed by the applicable AbbVie PR Savings Plan fiduciary. Abbott PR shall cause the transferred amounts to be allocated among the Abbott Retained Employees’ and Abbott LTD Participants’ (and beneficiaries’ and/or alternate payees’, as applicable) Abbott PR SRP - New accounts and to such investment funds in the same manner in which those amounts were allocated under the AbbVie PR Savings Plan. Any Asset and Liability transfers pursuant to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comply in all respects with ERISA Sections 208 and 204(g).</w:t>
      </w:r>
    </w:p>
    <w:p>
      <w:pPr>
        <w:spacing w:after="0" w:line="184" w:lineRule="exact"/>
        <w:rPr>
          <w:sz w:val="20"/>
          <w:szCs w:val="20"/>
          <w:color w:val="auto"/>
        </w:rPr>
      </w:pPr>
    </w:p>
    <w:p>
      <w:pPr>
        <w:ind w:left="1880" w:hanging="617"/>
        <w:spacing w:after="0"/>
        <w:tabs>
          <w:tab w:leader="none" w:pos="1880" w:val="left"/>
        </w:tabs>
        <w:numPr>
          <w:ilvl w:val="1"/>
          <w:numId w:val="180"/>
        </w:numPr>
        <w:rPr>
          <w:rFonts w:ascii="Arial" w:cs="Arial" w:eastAsia="Arial" w:hAnsi="Arial"/>
          <w:sz w:val="17"/>
          <w:szCs w:val="17"/>
          <w:color w:val="auto"/>
        </w:rPr>
      </w:pPr>
      <w:r>
        <w:rPr>
          <w:rFonts w:ascii="Arial" w:cs="Arial" w:eastAsia="Arial" w:hAnsi="Arial"/>
          <w:sz w:val="17"/>
          <w:szCs w:val="17"/>
          <w:i w:val="1"/>
          <w:iCs w:val="1"/>
          <w:color w:val="auto"/>
        </w:rPr>
        <w:t>Abbott PR SRP - New Plan Provisions</w:t>
      </w:r>
      <w:r>
        <w:rPr>
          <w:rFonts w:ascii="Arial" w:cs="Arial" w:eastAsia="Arial" w:hAnsi="Arial"/>
          <w:sz w:val="17"/>
          <w:szCs w:val="17"/>
          <w:color w:val="auto"/>
        </w:rPr>
        <w:t>. The Abbott PR SRP - New shall provide that:</w:t>
      </w:r>
    </w:p>
    <w:p>
      <w:pPr>
        <w:spacing w:after="0" w:line="224" w:lineRule="exact"/>
        <w:rPr>
          <w:rFonts w:ascii="Arial" w:cs="Arial" w:eastAsia="Arial" w:hAnsi="Arial"/>
          <w:sz w:val="17"/>
          <w:szCs w:val="17"/>
          <w:color w:val="auto"/>
        </w:rPr>
      </w:pPr>
    </w:p>
    <w:p>
      <w:pPr>
        <w:ind w:left="640" w:right="140" w:firstLine="1253"/>
        <w:spacing w:after="0" w:line="281" w:lineRule="auto"/>
        <w:tabs>
          <w:tab w:leader="none" w:pos="2509" w:val="left"/>
        </w:tabs>
        <w:numPr>
          <w:ilvl w:val="2"/>
          <w:numId w:val="180"/>
        </w:numPr>
        <w:rPr>
          <w:rFonts w:ascii="Arial" w:cs="Arial" w:eastAsia="Arial" w:hAnsi="Arial"/>
          <w:sz w:val="16"/>
          <w:szCs w:val="16"/>
          <w:color w:val="auto"/>
        </w:rPr>
      </w:pPr>
      <w:r>
        <w:rPr>
          <w:rFonts w:ascii="Arial" w:cs="Arial" w:eastAsia="Arial" w:hAnsi="Arial"/>
          <w:sz w:val="16"/>
          <w:szCs w:val="16"/>
          <w:color w:val="auto"/>
        </w:rPr>
        <w:t>Abbott Retained Employees and Abbott LTD Participants shall (A) be eligible to participate in the Abbott PR SRP-New as of the Distribution Date to the extent they were eligible to participate in the AbbVie PR Savings Plan immediately prior to the Distribution Date, and</w:t>
      </w:r>
    </w:p>
    <w:p>
      <w:pPr>
        <w:ind w:left="640" w:right="300" w:hanging="6"/>
        <w:spacing w:after="0" w:line="275" w:lineRule="auto"/>
        <w:tabs>
          <w:tab w:leader="none" w:pos="91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receive credit for vesting purposes for all service credited for that purpose under the AbbVie PR Savings Plan as of the Distribution Date as if that service had been rendered to Abbott PR; and</w:t>
      </w:r>
    </w:p>
    <w:p>
      <w:pPr>
        <w:spacing w:after="0" w:line="169" w:lineRule="exact"/>
        <w:rPr>
          <w:rFonts w:ascii="Arial" w:cs="Arial" w:eastAsia="Arial" w:hAnsi="Arial"/>
          <w:sz w:val="17"/>
          <w:szCs w:val="17"/>
          <w:color w:val="auto"/>
        </w:rPr>
      </w:pPr>
    </w:p>
    <w:p>
      <w:pPr>
        <w:ind w:left="640" w:right="160" w:firstLine="1253"/>
        <w:spacing w:after="0" w:line="273" w:lineRule="auto"/>
        <w:tabs>
          <w:tab w:leader="none" w:pos="2520" w:val="left"/>
        </w:tabs>
        <w:numPr>
          <w:ilvl w:val="2"/>
          <w:numId w:val="181"/>
        </w:numPr>
        <w:rPr>
          <w:rFonts w:ascii="Arial" w:cs="Arial" w:eastAsia="Arial" w:hAnsi="Arial"/>
          <w:sz w:val="17"/>
          <w:szCs w:val="17"/>
          <w:color w:val="auto"/>
        </w:rPr>
      </w:pPr>
      <w:r>
        <w:rPr>
          <w:rFonts w:ascii="Arial" w:cs="Arial" w:eastAsia="Arial" w:hAnsi="Arial"/>
          <w:sz w:val="17"/>
          <w:szCs w:val="17"/>
          <w:color w:val="auto"/>
        </w:rPr>
        <w:t>the account balance of each Abbott Retained Employee and Abbott LTD Participant under the AbbVie PR Savings Plan as of the date of the transfer of Assets from the AbbVie PR Savings Plan (including any outstanding promissory notes) shall be credited to such individual’s account balance under the Abbott PR SRP - New.</w:t>
      </w:r>
    </w:p>
    <w:p>
      <w:pPr>
        <w:spacing w:after="0" w:line="171" w:lineRule="exact"/>
        <w:rPr>
          <w:rFonts w:ascii="Arial" w:cs="Arial" w:eastAsia="Arial" w:hAnsi="Arial"/>
          <w:sz w:val="17"/>
          <w:szCs w:val="17"/>
          <w:color w:val="auto"/>
        </w:rPr>
      </w:pPr>
    </w:p>
    <w:p>
      <w:pPr>
        <w:ind w:right="100" w:firstLine="1263"/>
        <w:spacing w:after="0" w:line="314" w:lineRule="auto"/>
        <w:tabs>
          <w:tab w:leader="none" w:pos="1861" w:val="left"/>
        </w:tabs>
        <w:numPr>
          <w:ilvl w:val="1"/>
          <w:numId w:val="181"/>
        </w:numPr>
        <w:rPr>
          <w:rFonts w:ascii="Arial" w:cs="Arial" w:eastAsia="Arial" w:hAnsi="Arial"/>
          <w:sz w:val="15"/>
          <w:szCs w:val="15"/>
          <w:color w:val="auto"/>
        </w:rPr>
      </w:pPr>
      <w:r>
        <w:rPr>
          <w:rFonts w:ascii="Arial" w:cs="Arial" w:eastAsia="Arial" w:hAnsi="Arial"/>
          <w:sz w:val="15"/>
          <w:szCs w:val="15"/>
          <w:i w:val="1"/>
          <w:iCs w:val="1"/>
          <w:color w:val="auto"/>
        </w:rPr>
        <w:t>Determination Letter Request</w:t>
      </w:r>
      <w:r>
        <w:rPr>
          <w:rFonts w:ascii="Arial" w:cs="Arial" w:eastAsia="Arial" w:hAnsi="Arial"/>
          <w:sz w:val="15"/>
          <w:szCs w:val="15"/>
          <w:color w:val="auto"/>
        </w:rPr>
        <w:t>. Abbott PR shall submit an application to the Puerto Rico Secretary of Treasury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Distribution Date (but no later than the last day of the remedial amendment period as defined in applicable PR Code provisions) for a determination regarding the qualification of the Abbott PR SRP - New and the tax-exempt status of its related trust as of the Distribution Date and shall make any amendments reasonably requested by the Puerto Rico Secretary of Treasury to receive a favorable determination letter regarding the Abbott PR SRP - New.</w:t>
      </w:r>
    </w:p>
    <w:p>
      <w:pPr>
        <w:spacing w:after="0" w:line="146" w:lineRule="exact"/>
        <w:rPr>
          <w:rFonts w:ascii="Arial" w:cs="Arial" w:eastAsia="Arial" w:hAnsi="Arial"/>
          <w:sz w:val="15"/>
          <w:szCs w:val="15"/>
          <w:color w:val="auto"/>
        </w:rPr>
      </w:pPr>
    </w:p>
    <w:p>
      <w:pPr>
        <w:ind w:firstLine="1263"/>
        <w:spacing w:after="0" w:line="290" w:lineRule="auto"/>
        <w:tabs>
          <w:tab w:leader="none" w:pos="1879"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AbbVie PR Savings Plan after Distribution Date</w:t>
      </w:r>
      <w:r>
        <w:rPr>
          <w:rFonts w:ascii="Arial" w:cs="Arial" w:eastAsia="Arial" w:hAnsi="Arial"/>
          <w:sz w:val="16"/>
          <w:szCs w:val="16"/>
          <w:color w:val="auto"/>
        </w:rPr>
        <w:t>. From and after the Distribution Date, (i) the AbbVie PR Savings Plan shall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responsible for Liabilities in respect of AbbVie Employees and Former Employees (other than Abbott LTD Participants), and (ii) no Employees of the Abbott Group shall accrue any benefits under the AbbVie PR Savings Plan. Without limiting the generality of the foregoing, Abbott Retained Employees and Abbott LTD Participants shall cease to be active participants in the AbbVie PR Savings Plan effective as of the Distribution Date.</w:t>
      </w:r>
    </w:p>
    <w:p>
      <w:pPr>
        <w:spacing w:after="0" w:line="159" w:lineRule="exact"/>
        <w:rPr>
          <w:rFonts w:ascii="Arial" w:cs="Arial" w:eastAsia="Arial" w:hAnsi="Arial"/>
          <w:sz w:val="16"/>
          <w:szCs w:val="16"/>
          <w:color w:val="auto"/>
        </w:rPr>
      </w:pPr>
    </w:p>
    <w:p>
      <w:pPr>
        <w:ind w:right="160" w:firstLine="1263"/>
        <w:spacing w:after="0" w:line="273" w:lineRule="auto"/>
        <w:tabs>
          <w:tab w:leader="none" w:pos="1870" w:val="left"/>
        </w:tabs>
        <w:numPr>
          <w:ilvl w:val="1"/>
          <w:numId w:val="181"/>
        </w:numPr>
        <w:rPr>
          <w:rFonts w:ascii="Arial" w:cs="Arial" w:eastAsia="Arial" w:hAnsi="Arial"/>
          <w:sz w:val="17"/>
          <w:szCs w:val="17"/>
          <w:color w:val="auto"/>
        </w:rPr>
      </w:pPr>
      <w:r>
        <w:rPr>
          <w:rFonts w:ascii="Arial" w:cs="Arial" w:eastAsia="Arial" w:hAnsi="Arial"/>
          <w:sz w:val="17"/>
          <w:szCs w:val="17"/>
          <w:i w:val="1"/>
          <w:iCs w:val="1"/>
          <w:color w:val="auto"/>
        </w:rPr>
        <w:t>Fiduciaries</w:t>
      </w:r>
      <w:r>
        <w:rPr>
          <w:rFonts w:ascii="Arial" w:cs="Arial" w:eastAsia="Arial" w:hAnsi="Arial"/>
          <w:sz w:val="17"/>
          <w:szCs w:val="17"/>
          <w:color w:val="auto"/>
        </w:rPr>
        <w:t>. For all periods after the Distribution Date, the Parties agree that the applicable fiduciaries of each of the Abbott PR SRP -</w:t>
      </w:r>
      <w:r>
        <w:rPr>
          <w:rFonts w:ascii="Arial" w:cs="Arial" w:eastAsia="Arial" w:hAnsi="Arial"/>
          <w:sz w:val="17"/>
          <w:szCs w:val="17"/>
          <w:i w:val="1"/>
          <w:iCs w:val="1"/>
          <w:color w:val="auto"/>
        </w:rPr>
        <w:t xml:space="preserve"> </w:t>
      </w:r>
      <w:r>
        <w:rPr>
          <w:rFonts w:ascii="Arial" w:cs="Arial" w:eastAsia="Arial" w:hAnsi="Arial"/>
          <w:sz w:val="17"/>
          <w:szCs w:val="17"/>
          <w:color w:val="auto"/>
        </w:rPr>
        <w:t>New and the AbbVie PR Savings Plan, respectively, shall have the authority with respect to the Abbott PR SRP - New and the AbbVie PR Savings Plan, respectively, to determine the investment alternatives, the terms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conditions with respect to those investment alternatives and such other matters as are within the scope of their duties under ERISA Section 404.</w:t>
      </w:r>
    </w:p>
    <w:p>
      <w:pPr>
        <w:sectPr>
          <w:pgSz w:w="11900" w:h="16838" w:orient="portrait"/>
          <w:cols w:equalWidth="0" w:num="1">
            <w:col w:w="11420"/>
          </w:cols>
          <w:pgMar w:left="240" w:top="337" w:right="239" w:bottom="88" w:gutter="0" w:footer="0" w:header="0"/>
        </w:sectPr>
      </w:pPr>
    </w:p>
    <w:bookmarkStart w:id="66" w:name="page67"/>
    <w:bookmarkEnd w:id="66"/>
    <w:p>
      <w:pPr>
        <w:spacing w:after="0" w:line="55" w:lineRule="exact"/>
        <w:rPr>
          <w:sz w:val="20"/>
          <w:szCs w:val="20"/>
          <w:color w:val="auto"/>
        </w:rPr>
      </w:pPr>
    </w:p>
    <w:p>
      <w:pPr>
        <w:ind w:right="240" w:firstLine="1263"/>
        <w:spacing w:after="0" w:line="298" w:lineRule="auto"/>
        <w:tabs>
          <w:tab w:leader="none" w:pos="187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No Loss of Unvested Benefits; No Distributions</w:t>
      </w:r>
      <w:r>
        <w:rPr>
          <w:rFonts w:ascii="Arial" w:cs="Arial" w:eastAsia="Arial" w:hAnsi="Arial"/>
          <w:sz w:val="16"/>
          <w:szCs w:val="16"/>
          <w:color w:val="auto"/>
        </w:rPr>
        <w:t>. The transfer of any Abbott Retained Employee’s employment to Abbott PR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loss of that Abbott Retained Employee’s unvested benefits under the AbbVie PR Savings Plan or the Abbott PR SRP- New, and no Abbott Retained Employee shall be entitled to a distribution of his or her benefit under the AbbVie PR Savings Plan as a result of such transfer of employment.</w:t>
      </w:r>
    </w:p>
    <w:p>
      <w:pPr>
        <w:spacing w:after="0" w:line="153" w:lineRule="exact"/>
        <w:rPr>
          <w:rFonts w:ascii="Arial" w:cs="Arial" w:eastAsia="Arial" w:hAnsi="Arial"/>
          <w:sz w:val="16"/>
          <w:szCs w:val="16"/>
          <w:color w:val="auto"/>
        </w:rPr>
      </w:pPr>
    </w:p>
    <w:p>
      <w:pPr>
        <w:ind w:firstLine="1263"/>
        <w:spacing w:after="0" w:line="263" w:lineRule="auto"/>
        <w:tabs>
          <w:tab w:leader="none" w:pos="1869"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Subsequent Transfers</w:t>
      </w:r>
      <w:r>
        <w:rPr>
          <w:rFonts w:ascii="Arial" w:cs="Arial" w:eastAsia="Arial" w:hAnsi="Arial"/>
          <w:sz w:val="17"/>
          <w:szCs w:val="17"/>
          <w:color w:val="auto"/>
        </w:rPr>
        <w:t>. If, after the Distribution Date, a participant in the AbbVie PR Savings Plan becomes employed by the Abbott</w:t>
      </w:r>
      <w:r>
        <w:rPr>
          <w:rFonts w:ascii="Arial" w:cs="Arial" w:eastAsia="Arial" w:hAnsi="Arial"/>
          <w:sz w:val="17"/>
          <w:szCs w:val="17"/>
          <w:i w:val="1"/>
          <w:iCs w:val="1"/>
          <w:color w:val="auto"/>
        </w:rPr>
        <w:t xml:space="preserve"> </w:t>
      </w:r>
      <w:r>
        <w:rPr>
          <w:rFonts w:ascii="Arial" w:cs="Arial" w:eastAsia="Arial" w:hAnsi="Arial"/>
          <w:sz w:val="17"/>
          <w:szCs w:val="17"/>
          <w:color w:val="auto"/>
        </w:rPr>
        <w:t>Group, or a participant in the Abbott PR SRP - New becomes employed by the AbbVie Group, any additional allocations shall occur under the AbbVie PR Savings Plan or the Abbott PR SRP - New, as applicable. If such participant’s employment by the AbbVie Group or the Abbott Group commences during the Transition Period, the AbbVie PR Savings Plan or the Abbott PR SRP – New, as applicable, shall permit the applicable participant to roll over a distribution of such participant’s account (including any outstanding loans) from the AbbVie PR Savings Plan or the Abbott PR SRP - New, as applicable, all in accordance with the terms of the AbbVie PR Savings Plan and the Abbott PR SRP - New, as applicable</w:t>
      </w:r>
      <w:r>
        <w:rPr>
          <w:rFonts w:ascii="Arial" w:cs="Arial" w:eastAsia="Arial" w:hAnsi="Arial"/>
          <w:sz w:val="17"/>
          <w:szCs w:val="17"/>
          <w:b w:val="1"/>
          <w:bCs w:val="1"/>
          <w:i w:val="1"/>
          <w:iCs w:val="1"/>
          <w:color w:val="auto"/>
        </w:rPr>
        <w:t>.</w:t>
      </w:r>
    </w:p>
    <w:p>
      <w:pPr>
        <w:spacing w:after="0" w:line="18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7"/>
          <w:szCs w:val="17"/>
          <w:color w:val="auto"/>
        </w:rPr>
        <w:t>Section 7.03.</w:t>
      </w:r>
      <w:r>
        <w:rPr>
          <w:sz w:val="20"/>
          <w:szCs w:val="20"/>
          <w:color w:val="auto"/>
        </w:rPr>
        <w:tab/>
      </w:r>
      <w:r>
        <w:rPr>
          <w:rFonts w:ascii="Arial" w:cs="Arial" w:eastAsia="Arial" w:hAnsi="Arial"/>
          <w:sz w:val="15"/>
          <w:szCs w:val="15"/>
          <w:u w:val="single" w:color="auto"/>
          <w:color w:val="auto"/>
        </w:rPr>
        <w:t>Puerto Rico Supplemental Retirement Plans</w:t>
      </w:r>
      <w:r>
        <w:rPr>
          <w:rFonts w:ascii="Arial" w:cs="Arial" w:eastAsia="Arial" w:hAnsi="Arial"/>
          <w:sz w:val="15"/>
          <w:szCs w:val="15"/>
          <w:color w:val="auto"/>
        </w:rPr>
        <w:t>.</w:t>
      </w:r>
    </w:p>
    <w:p>
      <w:pPr>
        <w:spacing w:after="0" w:line="224" w:lineRule="exact"/>
        <w:rPr>
          <w:sz w:val="20"/>
          <w:szCs w:val="20"/>
          <w:color w:val="auto"/>
        </w:rPr>
      </w:pPr>
    </w:p>
    <w:p>
      <w:pPr>
        <w:ind w:right="100" w:firstLine="1263"/>
        <w:spacing w:after="0" w:line="273" w:lineRule="auto"/>
        <w:tabs>
          <w:tab w:leader="none" w:pos="1861"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Retention of Plan Sponsorship by AbbVie PR</w:t>
      </w:r>
      <w:r>
        <w:rPr>
          <w:rFonts w:ascii="Arial" w:cs="Arial" w:eastAsia="Arial" w:hAnsi="Arial"/>
          <w:sz w:val="17"/>
          <w:szCs w:val="17"/>
          <w:color w:val="auto"/>
        </w:rPr>
        <w:t>. Effective as of the Distribution Date, AbbVie PR shall continue sponsorship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PR SERP. The plan shall be amended, effective as of or before the Distribution Date, to reflect the name change, and to make other changes to effectuate such sponsorship continuation.</w:t>
      </w:r>
    </w:p>
    <w:p>
      <w:pPr>
        <w:spacing w:after="0" w:line="171" w:lineRule="exact"/>
        <w:rPr>
          <w:rFonts w:ascii="Arial" w:cs="Arial" w:eastAsia="Arial" w:hAnsi="Arial"/>
          <w:sz w:val="17"/>
          <w:szCs w:val="17"/>
          <w:color w:val="auto"/>
        </w:rPr>
      </w:pPr>
    </w:p>
    <w:p>
      <w:pPr>
        <w:ind w:right="200" w:firstLine="1263"/>
        <w:spacing w:after="0" w:line="289" w:lineRule="auto"/>
        <w:tabs>
          <w:tab w:leader="none" w:pos="187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Establishment of the Abbott PR SERP - New. </w:t>
      </w:r>
      <w:r>
        <w:rPr>
          <w:rFonts w:ascii="Arial" w:cs="Arial" w:eastAsia="Arial" w:hAnsi="Arial"/>
          <w:sz w:val="17"/>
          <w:szCs w:val="17"/>
          <w:color w:val="auto"/>
        </w:rPr>
        <w:t>Effective as of or before the Distribution Date, Abbott PR shall establish the Abbott PR</w:t>
      </w:r>
      <w:r>
        <w:rPr>
          <w:rFonts w:ascii="Arial" w:cs="Arial" w:eastAsia="Arial" w:hAnsi="Arial"/>
          <w:sz w:val="17"/>
          <w:szCs w:val="17"/>
          <w:i w:val="1"/>
          <w:iCs w:val="1"/>
          <w:color w:val="auto"/>
        </w:rPr>
        <w:t xml:space="preserve"> </w:t>
      </w:r>
      <w:r>
        <w:rPr>
          <w:rFonts w:ascii="Arial" w:cs="Arial" w:eastAsia="Arial" w:hAnsi="Arial"/>
          <w:sz w:val="17"/>
          <w:szCs w:val="17"/>
          <w:color w:val="auto"/>
        </w:rPr>
        <w:t>SERP – New with terms substantially similar to those of the AbbVie PR SERP.</w:t>
      </w:r>
    </w:p>
    <w:p>
      <w:pPr>
        <w:spacing w:after="0" w:line="158" w:lineRule="exact"/>
        <w:rPr>
          <w:rFonts w:ascii="Arial" w:cs="Arial" w:eastAsia="Arial" w:hAnsi="Arial"/>
          <w:sz w:val="17"/>
          <w:szCs w:val="17"/>
          <w:color w:val="auto"/>
        </w:rPr>
      </w:pPr>
    </w:p>
    <w:p>
      <w:pPr>
        <w:jc w:val="both"/>
        <w:ind w:right="140" w:firstLine="1263"/>
        <w:spacing w:after="0" w:line="265" w:lineRule="auto"/>
        <w:tabs>
          <w:tab w:leader="none" w:pos="1861"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Assumption of SERP Liabilities and Transfer from AbbVie PR SERP</w:t>
      </w:r>
      <w:r>
        <w:rPr>
          <w:rFonts w:ascii="Arial" w:cs="Arial" w:eastAsia="Arial" w:hAnsi="Arial"/>
          <w:sz w:val="17"/>
          <w:szCs w:val="17"/>
          <w:color w:val="auto"/>
        </w:rPr>
        <w:t>. As of the Distribution Date, Abbott PR shall, and shall 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Abbott PR SERP - New to, assume all Liabilities for all obligations under the AbbVie PR SERP for the benefits of Abbott Retained Employees and Abbott LTD Participants and their beneficiaries and/or alternate payees determined as of the Distribution Date, and AbbVie PR and the AbbVie PR SERP shall be relieved of all Liabilities for those benefits. AbbVie PR shall retain the Liabilities for all obligations under the AbbVie PR SERP for the benefits for AbbVie Employees and Former Employees (other than Abbott LTD Participants).</w:t>
      </w:r>
    </w:p>
    <w:p>
      <w:pPr>
        <w:spacing w:after="0" w:line="179" w:lineRule="exact"/>
        <w:rPr>
          <w:rFonts w:ascii="Arial" w:cs="Arial" w:eastAsia="Arial" w:hAnsi="Arial"/>
          <w:sz w:val="17"/>
          <w:szCs w:val="17"/>
          <w:color w:val="auto"/>
        </w:rPr>
      </w:pPr>
    </w:p>
    <w:p>
      <w:pPr>
        <w:ind w:left="1880" w:hanging="617"/>
        <w:spacing w:after="0"/>
        <w:tabs>
          <w:tab w:leader="none" w:pos="188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Abbott PR SERP - New Provisions</w:t>
      </w:r>
      <w:r>
        <w:rPr>
          <w:rFonts w:ascii="Arial" w:cs="Arial" w:eastAsia="Arial" w:hAnsi="Arial"/>
          <w:sz w:val="17"/>
          <w:szCs w:val="17"/>
          <w:color w:val="auto"/>
        </w:rPr>
        <w:t>. As of the Distribution Date, the Abbott PR SERP - New shall provide that:</w:t>
      </w:r>
    </w:p>
    <w:p>
      <w:pPr>
        <w:spacing w:after="0" w:line="224" w:lineRule="exact"/>
        <w:rPr>
          <w:rFonts w:ascii="Arial" w:cs="Arial" w:eastAsia="Arial" w:hAnsi="Arial"/>
          <w:sz w:val="17"/>
          <w:szCs w:val="17"/>
          <w:color w:val="auto"/>
        </w:rPr>
      </w:pPr>
    </w:p>
    <w:p>
      <w:pPr>
        <w:ind w:left="640" w:right="140" w:firstLine="1253"/>
        <w:spacing w:after="0" w:line="298" w:lineRule="auto"/>
        <w:tabs>
          <w:tab w:leader="none" w:pos="250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Abbott Retained Employees and Abbott LTD Participants shall (A) be eligible to participate in the Abbott PR SERP - New to the extent they were eligible to participate in the AbbVie PR SERP immediately prior to the Distribution Date, and (B) receive credit for vesting, eligibility and benefit service for all service credited for those purposes under the AbbVie PR SERP as of the Distribution Date (provided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spacing w:after="0" w:line="273" w:lineRule="auto"/>
        <w:rPr>
          <w:sz w:val="20"/>
          <w:szCs w:val="20"/>
          <w:color w:val="auto"/>
        </w:rPr>
      </w:pPr>
      <w:r>
        <w:rPr>
          <w:rFonts w:ascii="Arial" w:cs="Arial" w:eastAsia="Arial" w:hAnsi="Arial"/>
          <w:sz w:val="17"/>
          <w:szCs w:val="17"/>
          <w:color w:val="auto"/>
        </w:rPr>
        <w:t>in the event that any such Abbott Retained Employee or Abbott LTD Participant receives a distribution from the AbbVie PR SERP, the value of such distribution shall be offset against future benefits under the Abbott PR SERP - New to the extent necessary to avoid a duplication of benefits, the terms of such offset to be set forth in the Abbott PR SERP);</w:t>
      </w:r>
    </w:p>
    <w:p>
      <w:pPr>
        <w:spacing w:after="0" w:line="172" w:lineRule="exact"/>
        <w:rPr>
          <w:sz w:val="20"/>
          <w:szCs w:val="20"/>
          <w:color w:val="auto"/>
        </w:rPr>
      </w:pPr>
    </w:p>
    <w:p>
      <w:pPr>
        <w:ind w:left="640" w:firstLine="1253"/>
        <w:spacing w:after="0" w:line="322" w:lineRule="auto"/>
        <w:tabs>
          <w:tab w:leader="none" w:pos="25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compensation paid to an Abbott Retained Employee or to an Abbott LTD Participant that was recognized under the AbbVie PR SERP as of the Distribution Date shall be credited and recognized for all applicable purposes under the Abbott PR SERP - New;</w:t>
      </w:r>
    </w:p>
    <w:p>
      <w:pPr>
        <w:spacing w:after="0" w:line="135" w:lineRule="exact"/>
        <w:rPr>
          <w:rFonts w:ascii="Arial" w:cs="Arial" w:eastAsia="Arial" w:hAnsi="Arial"/>
          <w:sz w:val="16"/>
          <w:szCs w:val="16"/>
          <w:color w:val="auto"/>
        </w:rPr>
      </w:pPr>
    </w:p>
    <w:p>
      <w:pPr>
        <w:ind w:left="640" w:right="20" w:firstLine="1253"/>
        <w:spacing w:after="0" w:line="290" w:lineRule="auto"/>
        <w:tabs>
          <w:tab w:leader="none" w:pos="253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accrued benefit of each Abbott Retained Employee and each Abbott LTD Participant under the AbbVie PR SERP as of the Distribution Date shall be payable under the Abbott PR SERP - New at the time and in a form that would have been permitted under the AbbVie PR SERP as in effect as of such Distribution Date, with employment by the Abbott Group prior to the Distribution Date credited under the Abbott PR SERP - New for purposes of determining eligibility for optional forms of benefit, early retirement benefits, or other benefit forms; and</w:t>
      </w:r>
    </w:p>
    <w:p>
      <w:pPr>
        <w:spacing w:after="0" w:line="159" w:lineRule="exact"/>
        <w:rPr>
          <w:rFonts w:ascii="Arial" w:cs="Arial" w:eastAsia="Arial" w:hAnsi="Arial"/>
          <w:sz w:val="16"/>
          <w:szCs w:val="16"/>
          <w:color w:val="auto"/>
        </w:rPr>
      </w:pPr>
    </w:p>
    <w:p>
      <w:pPr>
        <w:ind w:left="640" w:right="60" w:firstLine="1253"/>
        <w:spacing w:after="0" w:line="273" w:lineRule="auto"/>
        <w:tabs>
          <w:tab w:leader="none" w:pos="2522"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Abbott PR SERP - New shall assume and honor the terms of all arrangements relating to beneficiaries and alternate payees in effect and honored under the AbbVie PR SERP as of the Distribution Date with respect to such Abbott Retained Employees and Abbott LTD Participants.</w:t>
      </w:r>
    </w:p>
    <w:p>
      <w:pPr>
        <w:spacing w:after="0" w:line="171" w:lineRule="exact"/>
        <w:rPr>
          <w:rFonts w:ascii="Arial" w:cs="Arial" w:eastAsia="Arial" w:hAnsi="Arial"/>
          <w:sz w:val="17"/>
          <w:szCs w:val="17"/>
          <w:color w:val="auto"/>
        </w:rPr>
      </w:pPr>
    </w:p>
    <w:p>
      <w:pPr>
        <w:jc w:val="both"/>
        <w:ind w:right="120" w:firstLine="1263"/>
        <w:spacing w:after="0" w:line="290" w:lineRule="auto"/>
        <w:tabs>
          <w:tab w:leader="none" w:pos="1861"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AbbVie PR SERP after Distribution Date</w:t>
      </w:r>
      <w:r>
        <w:rPr>
          <w:rFonts w:ascii="Arial" w:cs="Arial" w:eastAsia="Arial" w:hAnsi="Arial"/>
          <w:sz w:val="16"/>
          <w:szCs w:val="16"/>
          <w:color w:val="auto"/>
        </w:rPr>
        <w:t>. From and after the Distribution Date, no Employees of the Abbott Group shall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or accrue any benefits under the AbbVie PR SERP. Without limiting the generality of the foregoing, each Abbott Retained Employee and Abbott LTD Participant shall cease to participate in the AbbVie PR SERP effective as of the Distribution Date. The AbbVie PR SERP shall continue to be responsible for Liabilities in respect of AbbVie Employees and Former Employees (other than Abbott LTD Participants) and their beneficiaries and/or alternate payees.</w:t>
      </w:r>
    </w:p>
    <w:p>
      <w:pPr>
        <w:spacing w:after="0" w:line="159"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7"/>
          <w:szCs w:val="17"/>
          <w:color w:val="auto"/>
        </w:rPr>
        <w:t>Section 7.04.</w:t>
      </w:r>
      <w:r>
        <w:rPr>
          <w:sz w:val="20"/>
          <w:szCs w:val="20"/>
          <w:color w:val="auto"/>
        </w:rPr>
        <w:tab/>
      </w:r>
      <w:r>
        <w:rPr>
          <w:rFonts w:ascii="Arial" w:cs="Arial" w:eastAsia="Arial" w:hAnsi="Arial"/>
          <w:sz w:val="15"/>
          <w:szCs w:val="15"/>
          <w:u w:val="single" w:color="auto"/>
          <w:color w:val="auto"/>
        </w:rPr>
        <w:t>Puerto Rico Health and Welfare Plans</w:t>
      </w:r>
      <w:r>
        <w:rPr>
          <w:rFonts w:ascii="Arial" w:cs="Arial" w:eastAsia="Arial" w:hAnsi="Arial"/>
          <w:sz w:val="15"/>
          <w:szCs w:val="15"/>
          <w:color w:val="auto"/>
        </w:rPr>
        <w:t>.</w:t>
      </w:r>
    </w:p>
    <w:p>
      <w:pPr>
        <w:spacing w:after="0" w:line="224" w:lineRule="exact"/>
        <w:rPr>
          <w:sz w:val="20"/>
          <w:szCs w:val="20"/>
          <w:color w:val="auto"/>
        </w:rPr>
      </w:pPr>
    </w:p>
    <w:p>
      <w:pPr>
        <w:ind w:right="180" w:firstLine="1263"/>
        <w:spacing w:after="0" w:line="273" w:lineRule="auto"/>
        <w:tabs>
          <w:tab w:leader="none" w:pos="1861"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Retention of Plan Sponsorship by AbbVie PR</w:t>
      </w:r>
      <w:r>
        <w:rPr>
          <w:rFonts w:ascii="Arial" w:cs="Arial" w:eastAsia="Arial" w:hAnsi="Arial"/>
          <w:sz w:val="17"/>
          <w:szCs w:val="17"/>
          <w:color w:val="auto"/>
        </w:rPr>
        <w:t>. Effective as of the Distribution Date, AbbVie PR shall continue sponsorship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AbbVie PR Health and Welfare Plans. The plans shall be amended, effective as of or before the Distribution Date, to reflect the name change, and to make other changes to effectuate such sponsorship continuation.</w:t>
      </w:r>
    </w:p>
    <w:p>
      <w:pPr>
        <w:spacing w:after="0" w:line="171" w:lineRule="exact"/>
        <w:rPr>
          <w:rFonts w:ascii="Arial" w:cs="Arial" w:eastAsia="Arial" w:hAnsi="Arial"/>
          <w:sz w:val="17"/>
          <w:szCs w:val="17"/>
          <w:color w:val="auto"/>
        </w:rPr>
      </w:pPr>
    </w:p>
    <w:p>
      <w:pPr>
        <w:ind w:right="100" w:firstLine="1263"/>
        <w:spacing w:after="0" w:line="273" w:lineRule="auto"/>
        <w:tabs>
          <w:tab w:leader="none" w:pos="187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Establishment of Abbott PR Health and Welfare Plans - New</w:t>
      </w:r>
      <w:r>
        <w:rPr>
          <w:rFonts w:ascii="Arial" w:cs="Arial" w:eastAsia="Arial" w:hAnsi="Arial"/>
          <w:sz w:val="17"/>
          <w:szCs w:val="17"/>
          <w:color w:val="auto"/>
        </w:rPr>
        <w:t>. Effective as of or before the Distribution Date, Abbott PR shall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Abbott PR Health and Welfare Plans - New, with terms substantially similar to those of the corresponding AbbVie PR Health and Welfare Plans as of the Distribution Date unless otherwise provided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860" w:hanging="597"/>
        <w:spacing w:after="0"/>
        <w:tabs>
          <w:tab w:leader="none" w:pos="186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Waiver of Conditions; Benefit Maximums</w:t>
      </w:r>
      <w:r>
        <w:rPr>
          <w:rFonts w:ascii="Arial" w:cs="Arial" w:eastAsia="Arial" w:hAnsi="Arial"/>
          <w:sz w:val="16"/>
          <w:szCs w:val="16"/>
          <w:color w:val="auto"/>
        </w:rPr>
        <w:t>. Abbott PR shall, to the extent commercially reasonable, cause the Abbott PR Health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Welfare Plans - New to:</w:t>
      </w:r>
    </w:p>
    <w:p>
      <w:pPr>
        <w:spacing w:after="0" w:line="212" w:lineRule="exact"/>
        <w:rPr>
          <w:rFonts w:ascii="Arial" w:cs="Arial" w:eastAsia="Arial" w:hAnsi="Arial"/>
          <w:sz w:val="16"/>
          <w:szCs w:val="16"/>
          <w:color w:val="auto"/>
        </w:rPr>
      </w:pPr>
    </w:p>
    <w:p>
      <w:pPr>
        <w:ind w:left="2500" w:hanging="607"/>
        <w:spacing w:after="0"/>
        <w:tabs>
          <w:tab w:leader="none" w:pos="25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with respect to initial enrollment following the Distribution Date, waive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260" w:firstLine="1262"/>
        <w:spacing w:after="0" w:line="322" w:lineRule="auto"/>
        <w:tabs>
          <w:tab w:leader="none" w:pos="313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all limitations as to preexisting conditions, exclusions, and service conditions with respect to participation and coverage requirements applicable to any Abbott Retained Employee or Abbott LTD Participant, other than limitations that were in effect with</w:t>
      </w:r>
    </w:p>
    <w:p>
      <w:pPr>
        <w:sectPr>
          <w:pgSz w:w="11900" w:h="16893" w:orient="portrait"/>
          <w:cols w:equalWidth="0" w:num="1">
            <w:col w:w="11420"/>
          </w:cols>
          <w:pgMar w:left="240" w:top="127" w:right="239" w:bottom="0" w:gutter="0" w:footer="0" w:header="0"/>
        </w:sectPr>
      </w:pPr>
    </w:p>
    <w:bookmarkStart w:id="67" w:name="page68"/>
    <w:bookmarkEnd w:id="67"/>
    <w:p>
      <w:pPr>
        <w:ind w:left="1260" w:right="680"/>
        <w:spacing w:after="0" w:line="289" w:lineRule="auto"/>
        <w:rPr>
          <w:sz w:val="20"/>
          <w:szCs w:val="20"/>
          <w:color w:val="auto"/>
        </w:rPr>
      </w:pPr>
      <w:r>
        <w:rPr>
          <w:rFonts w:ascii="Arial" w:cs="Arial" w:eastAsia="Arial" w:hAnsi="Arial"/>
          <w:sz w:val="17"/>
          <w:szCs w:val="17"/>
          <w:color w:val="auto"/>
        </w:rPr>
        <w:t>respect to the Abbott Retained Employee or Abbott LTD Participant under the corresponding AbbVie PR Health and Welfare Plan as of immediately prior to the Distribution Date, and</w:t>
      </w:r>
    </w:p>
    <w:p>
      <w:pPr>
        <w:spacing w:after="0" w:line="158" w:lineRule="exact"/>
        <w:rPr>
          <w:sz w:val="20"/>
          <w:szCs w:val="20"/>
          <w:color w:val="auto"/>
        </w:rPr>
      </w:pPr>
    </w:p>
    <w:p>
      <w:pPr>
        <w:ind w:left="1260" w:right="40" w:firstLine="1262"/>
        <w:spacing w:after="0" w:line="298" w:lineRule="auto"/>
        <w:tabs>
          <w:tab w:leader="none" w:pos="316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any waiting period limitation or evidence of insurability requirement applicable to an Abbott Retained Employee or Abbott LTD Participant other than limitations or requirements that were in effect with respect to such Abbott Retained Employee or Abbott LTD Participant under the corresponding AbbVie PR Health and Welfare Plan as of immediately prior to the Distribution Date; and</w:t>
      </w:r>
    </w:p>
    <w:p>
      <w:pPr>
        <w:spacing w:after="0" w:line="153" w:lineRule="exact"/>
        <w:rPr>
          <w:rFonts w:ascii="Arial" w:cs="Arial" w:eastAsia="Arial" w:hAnsi="Arial"/>
          <w:sz w:val="16"/>
          <w:szCs w:val="16"/>
          <w:color w:val="auto"/>
        </w:rPr>
      </w:pPr>
    </w:p>
    <w:p>
      <w:pPr>
        <w:ind w:left="2520" w:hanging="627"/>
        <w:spacing w:after="0"/>
        <w:tabs>
          <w:tab w:leader="none" w:pos="25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take into account</w:t>
      </w:r>
    </w:p>
    <w:p>
      <w:pPr>
        <w:spacing w:after="0" w:line="224" w:lineRule="exact"/>
        <w:rPr>
          <w:rFonts w:ascii="Arial" w:cs="Arial" w:eastAsia="Arial" w:hAnsi="Arial"/>
          <w:sz w:val="17"/>
          <w:szCs w:val="17"/>
          <w:color w:val="auto"/>
        </w:rPr>
      </w:pPr>
    </w:p>
    <w:p>
      <w:pPr>
        <w:jc w:val="both"/>
        <w:ind w:left="1260" w:right="280" w:firstLine="1262"/>
        <w:spacing w:after="0" w:line="273" w:lineRule="auto"/>
        <w:tabs>
          <w:tab w:leader="none" w:pos="3132" w:val="left"/>
        </w:tabs>
        <w:numPr>
          <w:ilvl w:val="2"/>
          <w:numId w:val="189"/>
        </w:numPr>
        <w:rPr>
          <w:rFonts w:ascii="Arial" w:cs="Arial" w:eastAsia="Arial" w:hAnsi="Arial"/>
          <w:sz w:val="17"/>
          <w:szCs w:val="17"/>
          <w:color w:val="auto"/>
        </w:rPr>
      </w:pPr>
      <w:r>
        <w:rPr>
          <w:rFonts w:ascii="Arial" w:cs="Arial" w:eastAsia="Arial" w:hAnsi="Arial"/>
          <w:sz w:val="17"/>
          <w:szCs w:val="17"/>
          <w:color w:val="auto"/>
        </w:rPr>
        <w:t>with respect to aggregate annual, lifetime, or similar maximum benefits available under the Abbott PR Health and Welfare Plan - New, an Abbott Retained Employee’s or Abbott LTD Participant’s prior claim experience under the corresponding AbbVie PR Health and Welfare Plan and any Benefit Plan that provides leave benefits; and</w:t>
      </w:r>
    </w:p>
    <w:p>
      <w:pPr>
        <w:spacing w:after="0" w:line="171" w:lineRule="exact"/>
        <w:rPr>
          <w:rFonts w:ascii="Arial" w:cs="Arial" w:eastAsia="Arial" w:hAnsi="Arial"/>
          <w:sz w:val="17"/>
          <w:szCs w:val="17"/>
          <w:color w:val="auto"/>
        </w:rPr>
      </w:pPr>
    </w:p>
    <w:p>
      <w:pPr>
        <w:ind w:left="1260" w:right="180" w:firstLine="1262"/>
        <w:spacing w:after="0" w:line="308" w:lineRule="auto"/>
        <w:tabs>
          <w:tab w:leader="none" w:pos="3160" w:val="left"/>
        </w:tabs>
        <w:numPr>
          <w:ilvl w:val="2"/>
          <w:numId w:val="189"/>
        </w:numPr>
        <w:rPr>
          <w:rFonts w:ascii="Arial" w:cs="Arial" w:eastAsia="Arial" w:hAnsi="Arial"/>
          <w:sz w:val="15"/>
          <w:szCs w:val="15"/>
          <w:color w:val="auto"/>
        </w:rPr>
      </w:pPr>
      <w:r>
        <w:rPr>
          <w:rFonts w:ascii="Arial" w:cs="Arial" w:eastAsia="Arial" w:hAnsi="Arial"/>
          <w:sz w:val="15"/>
          <w:szCs w:val="15"/>
          <w:color w:val="auto"/>
        </w:rPr>
        <w:t>any eligible expenses incurred by an Abbott Retained Employee or Abbott LTD Participant and his or her covered dependents during the portion of the plan year of the corresponding AbbVie PR Health and Welfare Plan ending on the Distribution Date to be taken into account under such Abbott PR Health and Welfare Plan - New for purposes of satisfying all deductible, coinsurance, and maximum out-of-pocket requirements applicable to such Abbott Retained Employee or Abbott LTD Participant and his or her covered dependents for the applicable plan year as if such amounts had been paid in accordance with such Abbott PR Health and Welfare Plan - New.</w:t>
      </w:r>
    </w:p>
    <w:p>
      <w:pPr>
        <w:spacing w:after="0" w:line="151" w:lineRule="exact"/>
        <w:rPr>
          <w:rFonts w:ascii="Arial" w:cs="Arial" w:eastAsia="Arial" w:hAnsi="Arial"/>
          <w:sz w:val="15"/>
          <w:szCs w:val="15"/>
          <w:color w:val="auto"/>
        </w:rPr>
      </w:pPr>
    </w:p>
    <w:p>
      <w:pPr>
        <w:ind w:right="160" w:firstLine="1263"/>
        <w:spacing w:after="0" w:line="268" w:lineRule="auto"/>
        <w:tabs>
          <w:tab w:leader="none" w:pos="187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Spousal Transition Issues. </w:t>
      </w:r>
      <w:r>
        <w:rPr>
          <w:rFonts w:ascii="Arial" w:cs="Arial" w:eastAsia="Arial" w:hAnsi="Arial"/>
          <w:sz w:val="17"/>
          <w:szCs w:val="17"/>
          <w:color w:val="auto"/>
        </w:rPr>
        <w:t>The Abbott Group and AbbVie Group will cooperate to develop uniform guidelines intended to ensure that,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commercially practicable, from the Distribution Date through December 31, 2013, Employees who are married to each other or who are domestic partners as of the Distribution Date do not incur additional aggregate cost, or derive additional aggregate benefit, under the PR Health and Welfare Plans of the Parties solely because one such Employee is an Abbott Retained Employee and the other is an AbbVie Employee.</w:t>
      </w:r>
    </w:p>
    <w:p>
      <w:pPr>
        <w:spacing w:after="0" w:line="175" w:lineRule="exact"/>
        <w:rPr>
          <w:rFonts w:ascii="Arial" w:cs="Arial" w:eastAsia="Arial" w:hAnsi="Arial"/>
          <w:sz w:val="17"/>
          <w:szCs w:val="17"/>
          <w:color w:val="auto"/>
        </w:rPr>
      </w:pPr>
    </w:p>
    <w:p>
      <w:pPr>
        <w:ind w:left="1860" w:hanging="597"/>
        <w:spacing w:after="0"/>
        <w:tabs>
          <w:tab w:leader="none" w:pos="1860"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Allocation of Health and Welfare Assets and Liabilities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500" w:firstLine="1253"/>
        <w:spacing w:after="0" w:line="268" w:lineRule="auto"/>
        <w:tabs>
          <w:tab w:leader="none" w:pos="2509"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General Principles. </w:t>
      </w:r>
      <w:r>
        <w:rPr>
          <w:rFonts w:ascii="Arial" w:cs="Arial" w:eastAsia="Arial" w:hAnsi="Arial"/>
          <w:sz w:val="17"/>
          <w:szCs w:val="17"/>
          <w:color w:val="auto"/>
        </w:rPr>
        <w:t>Except as otherwise specifically provided in this Agreement, AbbVie PR shall retain all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Incurred Claims under the AbbVie PR Health and Welfare Plans, and shall also retain Assets (including, without limitation, Medicare reimbursements, pharmaceutical rebates, and similar items) associated with such Incurred Claims. Abbott PR shall be responsible for all Liabilities relating to Incurred Claims of any Abbott Retained Employee or Abbott LTD Participant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60"/>
        <w:spacing w:after="0" w:line="289" w:lineRule="auto"/>
        <w:rPr>
          <w:sz w:val="20"/>
          <w:szCs w:val="20"/>
          <w:color w:val="auto"/>
        </w:rPr>
      </w:pPr>
      <w:r>
        <w:rPr>
          <w:rFonts w:ascii="Arial" w:cs="Arial" w:eastAsia="Arial" w:hAnsi="Arial"/>
          <w:sz w:val="17"/>
          <w:szCs w:val="17"/>
          <w:color w:val="auto"/>
        </w:rPr>
        <w:t>under any Abbott PR Health and Welfare Plan - New, and shall also retain Assets (including, without limitation, Medicare reimbursements, pharmaceutical rebates, and similar items) associated with such Incurred Claims.</w:t>
      </w:r>
    </w:p>
    <w:p>
      <w:pPr>
        <w:spacing w:after="0" w:line="158" w:lineRule="exact"/>
        <w:rPr>
          <w:sz w:val="20"/>
          <w:szCs w:val="20"/>
          <w:color w:val="auto"/>
        </w:rPr>
      </w:pPr>
    </w:p>
    <w:p>
      <w:pPr>
        <w:jc w:val="both"/>
        <w:ind w:left="640" w:right="80" w:firstLine="1253"/>
        <w:spacing w:after="0" w:line="298" w:lineRule="auto"/>
        <w:tabs>
          <w:tab w:leader="none" w:pos="2520"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Disability Benefits, Disability Health Care and Disability Life Insurance. </w:t>
      </w:r>
      <w:r>
        <w:rPr>
          <w:rFonts w:ascii="Arial" w:cs="Arial" w:eastAsia="Arial" w:hAnsi="Arial"/>
          <w:sz w:val="16"/>
          <w:szCs w:val="16"/>
          <w:color w:val="auto"/>
        </w:rPr>
        <w:t>Notwithstanding any other provision hereof, Abbott</w:t>
      </w:r>
      <w:r>
        <w:rPr>
          <w:rFonts w:ascii="Arial" w:cs="Arial" w:eastAsia="Arial" w:hAnsi="Arial"/>
          <w:sz w:val="16"/>
          <w:szCs w:val="16"/>
          <w:i w:val="1"/>
          <w:iCs w:val="1"/>
          <w:color w:val="auto"/>
        </w:rPr>
        <w:t xml:space="preserve"> </w:t>
      </w:r>
      <w:r>
        <w:rPr>
          <w:rFonts w:ascii="Arial" w:cs="Arial" w:eastAsia="Arial" w:hAnsi="Arial"/>
          <w:sz w:val="16"/>
          <w:szCs w:val="16"/>
          <w:color w:val="auto"/>
        </w:rPr>
        <w:t>PR shall be responsible for Incurred Claims (including ongoing benefit payments) of Abbott Retained Employees and Abbott LTD Participants for short-term and long-term disability, disability healthcare and disability life insurance benefits, regardless of when the applicable Incurred Claim was incurred.</w:t>
      </w:r>
    </w:p>
    <w:p>
      <w:pPr>
        <w:spacing w:after="0" w:line="153" w:lineRule="exact"/>
        <w:rPr>
          <w:rFonts w:ascii="Arial" w:cs="Arial" w:eastAsia="Arial" w:hAnsi="Arial"/>
          <w:sz w:val="16"/>
          <w:szCs w:val="16"/>
          <w:color w:val="auto"/>
        </w:rPr>
      </w:pPr>
    </w:p>
    <w:p>
      <w:pPr>
        <w:ind w:left="640" w:right="60" w:firstLine="1253"/>
        <w:spacing w:after="0" w:line="285" w:lineRule="auto"/>
        <w:tabs>
          <w:tab w:leader="none" w:pos="2532"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Retiree Health Care Plan and Retiree Life Insurance Plan. </w:t>
      </w:r>
      <w:r>
        <w:rPr>
          <w:rFonts w:ascii="Arial" w:cs="Arial" w:eastAsia="Arial" w:hAnsi="Arial"/>
          <w:sz w:val="16"/>
          <w:szCs w:val="16"/>
          <w:color w:val="auto"/>
        </w:rPr>
        <w:t>Notwithstanding any other provision hereof, AbbVie PR shall</w:t>
      </w:r>
      <w:r>
        <w:rPr>
          <w:rFonts w:ascii="Arial" w:cs="Arial" w:eastAsia="Arial" w:hAnsi="Arial"/>
          <w:sz w:val="16"/>
          <w:szCs w:val="16"/>
          <w:i w:val="1"/>
          <w:iCs w:val="1"/>
          <w:color w:val="auto"/>
        </w:rPr>
        <w:t xml:space="preserve"> </w:t>
      </w:r>
      <w:r>
        <w:rPr>
          <w:rFonts w:ascii="Arial" w:cs="Arial" w:eastAsia="Arial" w:hAnsi="Arial"/>
          <w:sz w:val="16"/>
          <w:szCs w:val="16"/>
          <w:color w:val="auto"/>
        </w:rPr>
        <w:t>retain the Liabilities and responsibility for all obligations under the AbbVie Puerto Rico Retiree Health Care Plan (formerly known as The Abbott Laboratories Puerto Rico Retiree Health Care Plan) and the AbbVie Retiree Life Insurance Plan (formerly known as the Abbott Laboratories Retiree Life Insurance Plan) for benefits due to AbbVie Employees and Former Employees (other than Abbott LTD Participants) (and shall also retain Assets, including, without limitation, Medicare reimbursements, pharmaceutical rebates, and similar items, associated with such benefits).</w:t>
      </w:r>
    </w:p>
    <w:p>
      <w:pPr>
        <w:spacing w:after="0" w:line="166" w:lineRule="exact"/>
        <w:rPr>
          <w:sz w:val="20"/>
          <w:szCs w:val="20"/>
          <w:color w:val="auto"/>
        </w:rPr>
      </w:pPr>
    </w:p>
    <w:p>
      <w:pPr>
        <w:ind w:right="140" w:firstLine="1263"/>
        <w:spacing w:after="0" w:line="289" w:lineRule="auto"/>
        <w:tabs>
          <w:tab w:leader="none" w:pos="1879"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AbbVie PR Health and Welfare Plans after Distribution Date</w:t>
      </w:r>
      <w:r>
        <w:rPr>
          <w:rFonts w:ascii="Arial" w:cs="Arial" w:eastAsia="Arial" w:hAnsi="Arial"/>
          <w:sz w:val="17"/>
          <w:szCs w:val="17"/>
          <w:color w:val="auto"/>
        </w:rPr>
        <w:t>. Abbott Retained Employees and Abbott LTD Participants shall cease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AbbVie PR Health and Welfare Plans effective as of the Distribution Date.</w:t>
      </w:r>
    </w:p>
    <w:p>
      <w:pPr>
        <w:spacing w:after="0" w:line="158"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COBRA and HIPAA</w:t>
      </w:r>
      <w:r>
        <w:rPr>
          <w:rFonts w:ascii="Arial" w:cs="Arial" w:eastAsia="Arial" w:hAnsi="Arial"/>
          <w:sz w:val="16"/>
          <w:szCs w:val="16"/>
          <w:color w:val="auto"/>
        </w:rPr>
        <w:t>. AbbVie PR shall continue to be responsible for compliance with the health care continuation requirements of COBRA, the certificate of creditable coverage requirements of HIPAA, and the corresponding provisions of the AbbVie PR Health and Welfare Plans with respect to (a) any AbbVie Employees and any Former Employees (and their covered dependents) who incur a qualifying event under COBRA on, prior to, or following the Distribution Date, and (b) any other Abbott Employees (and their covered dependents), with respect to qualifying events under COBRA incurred prior to or on the applicable Transfer Date. Abbott PR shall assume responsibility for compliance with the health care continuation requirements of COBRA, the certificate of creditable coverage requirements of HIPAA, and the corresponding provisions of the Abbott PR Health and Welfare Plans - New with respect to any Abbott Retained Employees or Abbott LTD Participants (and their covered dependents) who incur a qualifying event or loss of coverage under the AbbVie PR Health and Welfare Plans and/or the Abbott PR Health and Welfare Plans - New after the Distribution Date. The Parties agree that the consummation of the transactions contemplated by the Separation and Distribution Agreement shall not constitute a COBRA qualifying event for any purpose of COBRA.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Transfer of Records and Information</w:t>
      </w:r>
      <w:r>
        <w:rPr>
          <w:rFonts w:ascii="Arial" w:cs="Arial" w:eastAsia="Arial" w:hAnsi="Arial"/>
          <w:sz w:val="17"/>
          <w:szCs w:val="17"/>
          <w:color w:val="auto"/>
        </w:rPr>
        <w:t>. Abbott shall transfer to AbbVie any and all employment records and information (including, but not limited to, any Form I-9,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Form W-2 or other Internal Revenue Service forms) with respect to Transferred Employees and other records reasonably required by AbbVie to enable AbbVie properly to carry out its obligations under this Agreement. Such transfer of records and information generally shall occur as soon as administratively practicable on or after the Distribution Date. Each Party will permit the other Party reasonable access to Employee records and information, to the extent reasonably necessary for such accessing Party to carry out its obligations hereunder.</w:t>
      </w:r>
    </w:p>
    <w:p>
      <w:pPr>
        <w:sectPr>
          <w:pgSz w:w="11900" w:h="16838" w:orient="portrait"/>
          <w:cols w:equalWidth="0" w:num="1">
            <w:col w:w="11420"/>
          </w:cols>
          <w:pgMar w:left="240" w:top="127" w:right="239" w:bottom="40" w:gutter="0" w:footer="0" w:header="0"/>
        </w:sectPr>
      </w:pPr>
    </w:p>
    <w:bookmarkStart w:id="68" w:name="page69"/>
    <w:bookmarkEnd w:id="68"/>
    <w:p>
      <w:pPr>
        <w:spacing w:after="0" w:line="53"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Cooperation</w:t>
      </w:r>
      <w:r>
        <w:rPr>
          <w:rFonts w:ascii="Arial" w:cs="Arial" w:eastAsia="Arial" w:hAnsi="Arial"/>
          <w:sz w:val="17"/>
          <w:szCs w:val="17"/>
          <w:color w:val="auto"/>
        </w:rPr>
        <w:t>. Each Party shall upon reasonable request provide the other Party and the other Party’s respective Affiliates, agents, and vendors all information reasonably necessary to the other Party’s performance of its obligations hereunder. The Parties agree to use their respective best efforts and to cooperate with each other in order to carry out their obligations hereunder and to effectuate the terms of this Agreement.</w:t>
      </w:r>
    </w:p>
    <w:p>
      <w:pPr>
        <w:spacing w:after="0" w:line="172"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xml:space="preserve">. As of the Distribution Date, Abbott and the applicable member of the Abbott Group hereby assign to AbbVie or another member of the AbbVie Group: (a) to the extent an AbbVie Employee did not otherwise sign an Employee Agreement to effectuate his or her transfer to and hiring by AbbVie, each Employee Agreement entered into between a member of the Abbott Group and any AbbVie Employee; and (b) all rights or obligations under any Employee Agreement relating to the AbbVie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Abbott and the Abbott Group shall retain all rights or obligations under each Employee Agreement or applicable Law to the extent that such rights or obligations are unrelated to the AbbVie Business. After the Distribution Date, (i) the AbbVie Group shall keep secret and retain in strictest confidence, and shall not use for the benefit of itself or others, any Abbott Group confidential or proprietary information that is unrelated to the AbbVie Business, and the AbbVie Group shall ensure that its Employees are bound by a secrecy obligation in accordance with this provision, and (ii) the Abbott Group shall keep secret and retain in strictest confidence, and shall not use for the benefit of itself or others, any AbbVie Group confidential or proprietary information that is unrelated to the Abbott Business, and the Abbott Group shall ensure that its Employees are bound by a secrecy obligation in accordance with this provision. Upon written request by Abbott or the Abbott Group, AbbVie or the AbbVie Group shall make available to Abbott or the Abbott Group the original copy of any Employee Agreement that was assigned to AbbVie or the AbbVie Group under this Agreement.</w:t>
      </w:r>
    </w:p>
    <w:p>
      <w:pPr>
        <w:spacing w:after="0" w:line="173"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Repayment Assets</w:t>
      </w:r>
      <w:r>
        <w:rPr>
          <w:rFonts w:ascii="Arial" w:cs="Arial" w:eastAsia="Arial" w:hAnsi="Arial"/>
          <w:sz w:val="17"/>
          <w:szCs w:val="17"/>
          <w:color w:val="auto"/>
        </w:rPr>
        <w:t>. Effective as of the applicable Transfer Date, the Abbott Group shall be entitled to all Employee Recoupment Assets in respect of Abbott Retained Employees and Abbott Former Employees, and the AbbVie Group shall be entitled to all Employee Recoupment Assets in respect of AbbVie Employees and AbbVie Former Employees. Without limiting the generality of the foregoing, the Abbott Group hereby assigns to the AbbVie Group, effective as of the applicable Transfer Date, all rights and obligations relating to any Employee Recoupment Assets of the Abbott Group in respect of any AbbVie Employee or AbbVie Former Employee.</w:t>
      </w:r>
    </w:p>
    <w:p>
      <w:pPr>
        <w:spacing w:after="0" w:line="179"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Compliance</w:t>
      </w:r>
      <w:r>
        <w:rPr>
          <w:rFonts w:ascii="Arial" w:cs="Arial" w:eastAsia="Arial" w:hAnsi="Arial"/>
          <w:sz w:val="17"/>
          <w:szCs w:val="17"/>
          <w:color w:val="auto"/>
        </w:rPr>
        <w:t>. The agreements and covenants of the Parties hereunder shall at all times be subject to the requirements and limitations of applicable Law (including, for purposes of Article IV, local rules and customs relating to the treatment of pension plans) and collective bargaining agreements. Where an agreement or covenant of a Party hereunder cannot be effected in compliance with applicable Law or an applicable collective bargaining agreement, the Parties agree to negotiate in good faith to modify such agreement or covenant to the least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extent possible in keeping with the original agreement or covenant in order to comply with applicable Law or such applicable collective bargaining agreement. Each provision of this Agreement is subject to and qualified by this </w:t>
      </w:r>
      <w:r>
        <w:rPr>
          <w:rFonts w:ascii="Arial" w:cs="Arial" w:eastAsia="Arial" w:hAnsi="Arial"/>
          <w:sz w:val="17"/>
          <w:szCs w:val="17"/>
          <w:u w:val="single" w:color="auto"/>
          <w:color w:val="auto"/>
        </w:rPr>
        <w:t>Section 8.05</w:t>
      </w:r>
      <w:r>
        <w:rPr>
          <w:rFonts w:ascii="Arial" w:cs="Arial" w:eastAsia="Arial" w:hAnsi="Arial"/>
          <w:sz w:val="17"/>
          <w:szCs w:val="17"/>
          <w:color w:val="auto"/>
        </w:rPr>
        <w:t>, whether or not such provision expressly states that it is subject to or limited by applicable Law or by applicable collective bargaining agreements. Each reference to the Code, ERISA, or the Securities Act or any other Law shall be deemed to include the rules, regulations, and guidance issued thereunder.</w:t>
      </w:r>
    </w:p>
    <w:p>
      <w:pPr>
        <w:spacing w:after="0" w:line="176"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Conflict With Conveyance and Assumption Instruments</w:t>
      </w:r>
      <w:r>
        <w:rPr>
          <w:rFonts w:ascii="Arial" w:cs="Arial" w:eastAsia="Arial" w:hAnsi="Arial"/>
          <w:sz w:val="17"/>
          <w:szCs w:val="17"/>
          <w:color w:val="auto"/>
        </w:rPr>
        <w:t>. Notwithstanding anything to the contrary in this Agreement, in the event of a conflict between the terms of any Conveyance and Assumption Instruments and the terms of this Agreement, the terms of the applicable Conveyance and Assumption Instruments shall control except as to the allocation of Liabilities between the Parties.</w:t>
      </w:r>
    </w:p>
    <w:p>
      <w:pPr>
        <w:spacing w:after="0" w:line="172"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Preservation of Rights</w:t>
      </w:r>
      <w:r>
        <w:rPr>
          <w:rFonts w:ascii="Arial" w:cs="Arial" w:eastAsia="Arial" w:hAnsi="Arial"/>
          <w:sz w:val="17"/>
          <w:szCs w:val="17"/>
          <w:color w:val="auto"/>
        </w:rPr>
        <w:t>. Unless expressly provided otherwise in this Agreement, nothing herein shall be construed as a limitation on the right of the Abbott Group or the AbbVie Group to (a) amend or terminate any Benefit Plan or (b) terminate the employment of any Employee.</w:t>
      </w:r>
    </w:p>
    <w:p>
      <w:pPr>
        <w:spacing w:after="0" w:line="158" w:lineRule="exact"/>
        <w:rPr>
          <w:sz w:val="20"/>
          <w:szCs w:val="20"/>
          <w:color w:val="auto"/>
        </w:rPr>
      </w:pPr>
    </w:p>
    <w:p>
      <w:pPr>
        <w:ind w:right="280" w:firstLine="629"/>
        <w:spacing w:after="0" w:line="322"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Transition Services</w:t>
      </w:r>
      <w:r>
        <w:rPr>
          <w:rFonts w:ascii="Arial" w:cs="Arial" w:eastAsia="Arial" w:hAnsi="Arial"/>
          <w:sz w:val="16"/>
          <w:szCs w:val="16"/>
          <w:color w:val="auto"/>
        </w:rPr>
        <w:t>. Except as otherwise provided in the Transition Services Agreements or as otherwise expressly provided herein, neither party shall have any responsibility for providing services to the other party with respect to employee or Benefit Plan matters after the Distribution Date.</w:t>
      </w:r>
    </w:p>
    <w:p>
      <w:pPr>
        <w:spacing w:after="0" w:line="13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Reimbursement</w:t>
      </w:r>
      <w:r>
        <w:rPr>
          <w:rFonts w:ascii="Arial" w:cs="Arial" w:eastAsia="Arial" w:hAnsi="Arial"/>
          <w:sz w:val="17"/>
          <w:szCs w:val="17"/>
          <w:color w:val="auto"/>
        </w:rPr>
        <w:t>. The Parties acknowledge that the Abbott Group, on the one hand, and the AbbVie Group, on the other hand, may incur costs and expenses (including, without limitation, contributions to Benefit Plans and the payment of insurance premiums) which are, as set forth in this Agreement, the responsibility of the other party. Accordingly, the Parties agree to reimburse each other, as soon as practicable but in any event within 30 days after receipt from the other party of appropriate verification, for all such costs and expenses.</w:t>
      </w:r>
    </w:p>
    <w:p>
      <w:pPr>
        <w:spacing w:after="0" w:line="176"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7"/>
          <w:szCs w:val="17"/>
          <w:color w:val="auto"/>
        </w:rPr>
        <w:t>Section 8.10.</w:t>
      </w:r>
      <w:r>
        <w:rPr>
          <w:sz w:val="20"/>
          <w:szCs w:val="20"/>
          <w:color w:val="auto"/>
        </w:rPr>
        <w:tab/>
      </w:r>
      <w:r>
        <w:rPr>
          <w:rFonts w:ascii="Arial" w:cs="Arial" w:eastAsia="Arial" w:hAnsi="Arial"/>
          <w:sz w:val="16"/>
          <w:szCs w:val="16"/>
          <w:u w:val="single" w:color="auto"/>
          <w:color w:val="auto"/>
        </w:rPr>
        <w:t>Matching Grant Plan and Employee Giving Campaign</w:t>
      </w:r>
      <w:r>
        <w:rPr>
          <w:rFonts w:ascii="Arial" w:cs="Arial" w:eastAsia="Arial" w:hAnsi="Arial"/>
          <w:sz w:val="16"/>
          <w:szCs w:val="16"/>
          <w:color w:val="auto"/>
        </w:rPr>
        <w:t>.</w:t>
      </w:r>
    </w:p>
    <w:p>
      <w:pPr>
        <w:spacing w:after="0" w:line="224" w:lineRule="exact"/>
        <w:rPr>
          <w:sz w:val="20"/>
          <w:szCs w:val="20"/>
          <w:color w:val="auto"/>
        </w:rPr>
      </w:pPr>
    </w:p>
    <w:p>
      <w:pPr>
        <w:ind w:right="200" w:firstLine="1263"/>
        <w:spacing w:after="0" w:line="268" w:lineRule="auto"/>
        <w:tabs>
          <w:tab w:leader="none" w:pos="1861"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U.S. Matching Grant Plan. </w:t>
      </w:r>
      <w:r>
        <w:rPr>
          <w:rFonts w:ascii="Arial" w:cs="Arial" w:eastAsia="Arial" w:hAnsi="Arial"/>
          <w:sz w:val="17"/>
          <w:szCs w:val="17"/>
          <w:color w:val="auto"/>
        </w:rPr>
        <w:t>The Abbott Fund shall retain all Liabilities under the Abbott Fund Matching Grant Plan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donations made prior to the Distribution Date. The Abbott Fund is to match or cause to be matched all eligible donations made prior to the Distribution Date, in accordance with the terms of the Abbott Fund Matching Grant Plan. From and after the Distribution Date, it is expected that eligible AbbVie Employees shall have access to a matching grant plan as described in the applicable Transition Services Agreement.</w:t>
      </w:r>
    </w:p>
    <w:p>
      <w:pPr>
        <w:spacing w:after="0" w:line="175" w:lineRule="exact"/>
        <w:rPr>
          <w:rFonts w:ascii="Arial" w:cs="Arial" w:eastAsia="Arial" w:hAnsi="Arial"/>
          <w:sz w:val="17"/>
          <w:szCs w:val="17"/>
          <w:color w:val="auto"/>
        </w:rPr>
      </w:pPr>
    </w:p>
    <w:p>
      <w:pPr>
        <w:ind w:right="140" w:firstLine="1263"/>
        <w:spacing w:after="0" w:line="298" w:lineRule="auto"/>
        <w:tabs>
          <w:tab w:leader="none" w:pos="1870"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U.S. Employee Giving Campaign. </w:t>
      </w:r>
      <w:r>
        <w:rPr>
          <w:rFonts w:ascii="Arial" w:cs="Arial" w:eastAsia="Arial" w:hAnsi="Arial"/>
          <w:sz w:val="16"/>
          <w:szCs w:val="16"/>
          <w:color w:val="auto"/>
        </w:rPr>
        <w:t>Abbott and the Abbott Fund, as applicable, shall retain all Liabilities under the Abbott Laboratories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Giving Campaign with respect to donations and pledges made prior to the Distribution Date. From and after the Distribution Date, it is expected that eligible AbbVie Employees shall have access to an employee giving campaign as described in the applicable Transition Services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Clara Abbott Foundation</w:t>
      </w:r>
      <w:r>
        <w:rPr>
          <w:rFonts w:ascii="Arial" w:cs="Arial" w:eastAsia="Arial" w:hAnsi="Arial"/>
          <w:sz w:val="17"/>
          <w:szCs w:val="17"/>
          <w:color w:val="auto"/>
        </w:rPr>
        <w:t>. No reference to benefits or any Benefit Plan contained in this Agreement shall include or affect the benefits and services provided by the Clara Abbott Foundation.</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Not a Change in Control</w:t>
      </w:r>
      <w:r>
        <w:rPr>
          <w:rFonts w:ascii="Arial" w:cs="Arial" w:eastAsia="Arial" w:hAnsi="Arial"/>
          <w:sz w:val="17"/>
          <w:szCs w:val="17"/>
          <w:color w:val="auto"/>
        </w:rPr>
        <w:t>. The Parties acknowledge and agree that the transactions contemplated by the Separation and Distribution Agreement and this Agreement do not constitute a “change in control” or a “change of control” for purposes of any Benefit Plan.</w:t>
      </w:r>
    </w:p>
    <w:p>
      <w:pPr>
        <w:spacing w:after="0" w:line="158" w:lineRule="exact"/>
        <w:rPr>
          <w:sz w:val="20"/>
          <w:szCs w:val="20"/>
          <w:color w:val="auto"/>
        </w:rPr>
      </w:pPr>
    </w:p>
    <w:p>
      <w:pPr>
        <w:jc w:val="both"/>
        <w:ind w:right="240" w:firstLine="629"/>
        <w:spacing w:after="0" w:line="268"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Reverse Jurisdictions</w:t>
      </w:r>
      <w:r>
        <w:rPr>
          <w:rFonts w:ascii="Arial" w:cs="Arial" w:eastAsia="Arial" w:hAnsi="Arial"/>
          <w:sz w:val="17"/>
          <w:szCs w:val="17"/>
          <w:color w:val="auto"/>
        </w:rPr>
        <w:t xml:space="preserve">. Notwithstanding anything in this Agreement to the contrary, with the exception of Article I, Section 2.01 and Article VII, the parties acknowledge and agree that for each of the entities or countries listed in </w:t>
      </w:r>
      <w:r>
        <w:rPr>
          <w:rFonts w:ascii="Arial" w:cs="Arial" w:eastAsia="Arial" w:hAnsi="Arial"/>
          <w:sz w:val="17"/>
          <w:szCs w:val="17"/>
          <w:u w:val="single" w:color="auto"/>
          <w:color w:val="auto"/>
        </w:rPr>
        <w:t>Schedule 8.13</w:t>
      </w:r>
      <w:r>
        <w:rPr>
          <w:rFonts w:ascii="Arial" w:cs="Arial" w:eastAsia="Arial" w:hAnsi="Arial"/>
          <w:sz w:val="17"/>
          <w:szCs w:val="17"/>
          <w:color w:val="auto"/>
        </w:rPr>
        <w:t>, where the context so requires in accordance with the applicable local Conveyance and Assumption Instruments, each reference to “AbbVie” in this Agreement shall be construed as a reference to “Abbott,” and each reference to “Abbott” in this Agreement shall be construed as a reference to “AbbVie.”</w:t>
      </w:r>
    </w:p>
    <w:p>
      <w:pPr>
        <w:spacing w:after="0" w:line="176" w:lineRule="exact"/>
        <w:rPr>
          <w:sz w:val="20"/>
          <w:szCs w:val="20"/>
          <w:color w:val="auto"/>
        </w:rPr>
      </w:pPr>
    </w:p>
    <w:p>
      <w:pPr>
        <w:jc w:val="both"/>
        <w:ind w:right="220" w:firstLine="629"/>
        <w:spacing w:after="0" w:line="360" w:lineRule="auto"/>
        <w:rPr>
          <w:sz w:val="20"/>
          <w:szCs w:val="20"/>
          <w:color w:val="auto"/>
        </w:rPr>
      </w:pPr>
      <w:r>
        <w:rPr>
          <w:rFonts w:ascii="Arial" w:cs="Arial" w:eastAsia="Arial" w:hAnsi="Arial"/>
          <w:sz w:val="15"/>
          <w:szCs w:val="15"/>
          <w:color w:val="auto"/>
        </w:rPr>
        <w:t xml:space="preserve">Section 8.14. </w:t>
      </w:r>
      <w:r>
        <w:rPr>
          <w:rFonts w:ascii="Arial" w:cs="Arial" w:eastAsia="Arial" w:hAnsi="Arial"/>
          <w:sz w:val="15"/>
          <w:szCs w:val="15"/>
          <w:u w:val="single" w:color="auto"/>
          <w:color w:val="auto"/>
        </w:rPr>
        <w:t>Incorporation by Reference</w:t>
      </w:r>
      <w:r>
        <w:rPr>
          <w:rFonts w:ascii="Arial" w:cs="Arial" w:eastAsia="Arial" w:hAnsi="Arial"/>
          <w:sz w:val="15"/>
          <w:szCs w:val="15"/>
          <w:color w:val="auto"/>
        </w:rPr>
        <w:t>. The following sections of the Separation and Distribution Agreement are hereby incorporated into this Agreement by reference: Section 9.01. Counterparts, Entire Agreement, Corporate Power, Signatures and Delivery; Section 9.02. Governing Law; Section 9.03.</w:t>
      </w:r>
    </w:p>
    <w:p>
      <w:pPr>
        <w:sectPr>
          <w:pgSz w:w="11900" w:h="16891" w:orient="portrait"/>
          <w:cols w:equalWidth="0" w:num="1">
            <w:col w:w="11420"/>
          </w:cols>
          <w:pgMar w:left="240" w:top="127" w:right="239" w:bottom="0" w:gutter="0" w:footer="0" w:header="0"/>
        </w:sectPr>
      </w:pPr>
    </w:p>
    <w:bookmarkStart w:id="69" w:name="page70"/>
    <w:bookmarkEnd w:id="69"/>
    <w:p>
      <w:pPr>
        <w:ind w:right="280"/>
        <w:spacing w:after="0" w:line="298" w:lineRule="auto"/>
        <w:rPr>
          <w:sz w:val="20"/>
          <w:szCs w:val="20"/>
          <w:color w:val="auto"/>
        </w:rPr>
      </w:pPr>
      <w:r>
        <w:rPr>
          <w:rFonts w:ascii="Arial" w:cs="Arial" w:eastAsia="Arial" w:hAnsi="Arial"/>
          <w:sz w:val="16"/>
          <w:szCs w:val="16"/>
          <w:color w:val="auto"/>
        </w:rPr>
        <w:t>Assignability; Section 9.04. Third Party Beneficiaries; Section 9.05. Notices; Section 9.06. Severability; Section 9.07. Force Majeure; Section 9.08. No Set Off; Section 9.09. Responsibility for Expenses; Section 9.10. Headings; Section 9.11. Survival of Covenants; Section 9.13. Waivers of Default; Section 9.14. Amendments; Section 9.15. Interpretation; Section 9.16. Public Announcements; Section 9.17. Specific Performance; and Section 9.18. Mutual Drafting.</w:t>
      </w:r>
    </w:p>
    <w:p>
      <w:pPr>
        <w:spacing w:after="0" w:line="154"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Limitation on Enforcement</w:t>
      </w:r>
      <w:r>
        <w:rPr>
          <w:rFonts w:ascii="Arial" w:cs="Arial" w:eastAsia="Arial" w:hAnsi="Arial"/>
          <w:sz w:val="16"/>
          <w:szCs w:val="16"/>
          <w:color w:val="auto"/>
        </w:rPr>
        <w:t>. This Agreement is an agreement solely between the Parties. Nothing in this Agreement, whether express or implied, shall be construed to: (a) confer upon any current or former Employee of the Abbott Group or the AbbVie Group, or any other person any rights or remedies, including, but not limited to any right to (i) employment or recall; (ii) continued employment or continued service for any specified period; or (iii) claim any particular compensation, benefit or aggregation of benefits, of any kind or nature; or (b) create, modify, or amend any Benefit Plan.</w:t>
      </w:r>
    </w:p>
    <w:p>
      <w:pPr>
        <w:spacing w:after="0" w:line="159" w:lineRule="exact"/>
        <w:rPr>
          <w:sz w:val="20"/>
          <w:szCs w:val="20"/>
          <w:color w:val="auto"/>
        </w:rPr>
      </w:pPr>
    </w:p>
    <w:p>
      <w:pPr>
        <w:ind w:right="160" w:firstLine="629"/>
        <w:spacing w:after="0" w:line="261"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Further Assurances and Consents</w:t>
      </w:r>
      <w:r>
        <w:rPr>
          <w:rFonts w:ascii="Arial" w:cs="Arial" w:eastAsia="Arial" w:hAnsi="Arial"/>
          <w:sz w:val="17"/>
          <w:szCs w:val="17"/>
          <w:color w:val="auto"/>
        </w:rPr>
        <w:t xml:space="preserve">. In addition to the actions specifically provided for elsewhere in this Agreement, each of the Parties hereto shall use commercially reasonable efforts to (a) execute and deliver such further instruments and documents and take such other actions as the other party may reasonably request to effectuate the purposes of this Agreement and carry out the terms hereof; (b) take, or cause to be taken, all actions, and do, or cause to be done, all things, reasonably necessary, proper or advisable under applicable Laws and agreements or otherwise to consummate and make effective the transactions contemplated by this Agreement, including, without limitation, using commercially reasonable efforts to obtain any consents and approvals and to make any filings and applications necessary or desirable to consummate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party hereto shall be obligated to pay any consideration therefor (except for filing fees and other similar charges) to any third party from whom those consents, approvals and amendments are required or to take any action or omit to take any action if the taking of action or the omission to take action would be unreasonably burdensome to the party or the business thereof.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8.17. </w:t>
      </w:r>
      <w:r>
        <w:rPr>
          <w:rFonts w:ascii="Arial" w:cs="Arial" w:eastAsia="Arial" w:hAnsi="Arial"/>
          <w:sz w:val="17"/>
          <w:szCs w:val="17"/>
          <w:u w:val="single" w:color="auto"/>
          <w:color w:val="auto"/>
        </w:rPr>
        <w:t>Third Party Consent</w:t>
      </w:r>
      <w:r>
        <w:rPr>
          <w:rFonts w:ascii="Arial" w:cs="Arial" w:eastAsia="Arial" w:hAnsi="Arial"/>
          <w:sz w:val="17"/>
          <w:szCs w:val="17"/>
          <w:color w:val="auto"/>
        </w:rPr>
        <w:t>. If the obligation of any party under this Agreement depends on the consent of a third party, such as a vendor or insurance company, and that consent is withheld, the Parties shall use commercially reasonable efforts to implement the applicable provisions of this Agreement to the fullest extent practicable. If any provision of this Agreement cannot be implemented due to the failure of a third party to consent, the Parties shall negotiate in good faith to implement the provision in a mutually satisfactory manner, taking into account the original purposes of the provision in light of the Distribution and communications to affected individuals.</w:t>
      </w:r>
    </w:p>
    <w:p>
      <w:pPr>
        <w:spacing w:after="0" w:line="179"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 xml:space="preserve">Section 8.18. </w:t>
      </w:r>
      <w:r>
        <w:rPr>
          <w:rFonts w:ascii="Arial" w:cs="Arial" w:eastAsia="Arial" w:hAnsi="Arial"/>
          <w:sz w:val="16"/>
          <w:szCs w:val="16"/>
          <w:u w:val="single" w:color="auto"/>
          <w:color w:val="auto"/>
        </w:rPr>
        <w:t>Effect if Distribution Does Not Occur</w:t>
      </w:r>
      <w:r>
        <w:rPr>
          <w:rFonts w:ascii="Arial" w:cs="Arial" w:eastAsia="Arial" w:hAnsi="Arial"/>
          <w:sz w:val="16"/>
          <w:szCs w:val="16"/>
          <w:color w:val="auto"/>
        </w:rPr>
        <w:t>. If the Distribution does not occur, then all actions and events that are to be taken under this Agreement, or otherwise in connection with the Distribution, shall not be taken or occur, except to the extent specifically provided by Abbott.</w:t>
      </w:r>
    </w:p>
    <w:p>
      <w:pPr>
        <w:spacing w:after="0" w:line="136"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Section 8.19. </w:t>
      </w:r>
      <w:r>
        <w:rPr>
          <w:rFonts w:ascii="Arial" w:cs="Arial" w:eastAsia="Arial" w:hAnsi="Arial"/>
          <w:sz w:val="17"/>
          <w:szCs w:val="17"/>
          <w:u w:val="single" w:color="auto"/>
          <w:color w:val="auto"/>
        </w:rPr>
        <w:t>Disputes</w:t>
      </w:r>
      <w:r>
        <w:rPr>
          <w:rFonts w:ascii="Arial" w:cs="Arial" w:eastAsia="Arial" w:hAnsi="Arial"/>
          <w:sz w:val="17"/>
          <w:szCs w:val="17"/>
          <w:color w:val="auto"/>
        </w:rPr>
        <w:t>. The Parties agree to use commercially reasonable efforts to resolve in an amicable manner any and all controversies, disputes and claims between them arising out of or related in any way to this Agreement. The Parties agree that any controversy, dispute or claim (whether arising in contract, tort or otherwise) arising out of or related in any way to this Agreement that cannot be amicably resolved informally will be resolved pursuant to the dispute resolution procedures set forth in Article VII of the Separation and Distribution Agreement.</w:t>
      </w:r>
    </w:p>
    <w:p>
      <w:pPr>
        <w:spacing w:after="0" w:line="176"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As of the Distribution Date, the Parties shall update </w:t>
      </w:r>
      <w:r>
        <w:rPr>
          <w:rFonts w:ascii="Arial" w:cs="Arial" w:eastAsia="Arial" w:hAnsi="Arial"/>
          <w:sz w:val="17"/>
          <w:szCs w:val="17"/>
          <w:u w:val="single" w:color="auto"/>
          <w:color w:val="auto"/>
        </w:rPr>
        <w:t>Schedules 2.03(a)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to this Agreement, as necessary.</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caused this Agreement to be signed by their authorized representatives as of the Distribution Date.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gridSpan w:val="2"/>
          </w:tcPr>
          <w:p>
            <w:pPr>
              <w:spacing w:after="0"/>
              <w:rPr>
                <w:sz w:val="20"/>
                <w:szCs w:val="20"/>
                <w:color w:val="auto"/>
              </w:rPr>
            </w:pPr>
            <w:r>
              <w:rPr>
                <w:rFonts w:ascii="Arial" w:cs="Arial" w:eastAsia="Arial" w:hAnsi="Arial"/>
                <w:sz w:val="17"/>
                <w:szCs w:val="17"/>
                <w:color w:val="auto"/>
              </w:rPr>
              <w:t>ABBVIE INC.</w:t>
            </w:r>
          </w:p>
        </w:tc>
        <w:tc>
          <w:tcPr>
            <w:tcW w:w="2280" w:type="dxa"/>
            <w:vAlign w:val="bottom"/>
          </w:tcPr>
          <w:p>
            <w:pPr>
              <w:spacing w:after="0"/>
              <w:rPr>
                <w:sz w:val="19"/>
                <w:szCs w:val="19"/>
                <w:color w:val="auto"/>
              </w:rPr>
            </w:pPr>
          </w:p>
        </w:tc>
        <w:tc>
          <w:tcPr>
            <w:tcW w:w="5800" w:type="dxa"/>
            <w:vAlign w:val="bottom"/>
            <w:gridSpan w:val="2"/>
          </w:tcPr>
          <w:p>
            <w:pPr>
              <w:ind w:left="280"/>
              <w:spacing w:after="0"/>
              <w:rPr>
                <w:sz w:val="20"/>
                <w:szCs w:val="20"/>
                <w:color w:val="auto"/>
              </w:rPr>
            </w:pPr>
            <w:r>
              <w:rPr>
                <w:rFonts w:ascii="Arial" w:cs="Arial" w:eastAsia="Arial" w:hAnsi="Arial"/>
                <w:sz w:val="17"/>
                <w:szCs w:val="17"/>
                <w:color w:val="auto"/>
              </w:rPr>
              <w:t>ABBOTT LABORATORIES</w:t>
            </w:r>
          </w:p>
        </w:tc>
        <w:tc>
          <w:tcPr>
            <w:tcW w:w="40" w:type="dxa"/>
            <w:vAlign w:val="bottom"/>
          </w:tcPr>
          <w:p>
            <w:pPr>
              <w:spacing w:after="0"/>
              <w:rPr>
                <w:sz w:val="19"/>
                <w:szCs w:val="19"/>
                <w:color w:val="auto"/>
              </w:rPr>
            </w:pPr>
          </w:p>
        </w:tc>
      </w:tr>
      <w:tr>
        <w:trPr>
          <w:trHeight w:val="629"/>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2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7"/>
                <w:szCs w:val="17"/>
                <w:color w:val="auto"/>
              </w:rPr>
              <w:t>BY</w:t>
            </w:r>
          </w:p>
        </w:tc>
        <w:tc>
          <w:tcPr>
            <w:tcW w:w="4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09"/>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2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7"/>
                <w:szCs w:val="17"/>
                <w:color w:val="auto"/>
              </w:rPr>
              <w:t>TITLE</w:t>
            </w:r>
          </w:p>
        </w:tc>
        <w:tc>
          <w:tcPr>
            <w:tcW w:w="4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20" w:type="dxa"/>
            <w:vAlign w:val="bottom"/>
            <w:gridSpan w:val="2"/>
          </w:tcPr>
          <w:p>
            <w:pPr>
              <w:jc w:val="right"/>
              <w:ind w:right="773"/>
              <w:spacing w:after="0"/>
              <w:rPr>
                <w:sz w:val="20"/>
                <w:szCs w:val="20"/>
                <w:color w:val="auto"/>
              </w:rPr>
            </w:pPr>
            <w:r>
              <w:rPr>
                <w:rFonts w:ascii="Arial" w:cs="Arial" w:eastAsia="Arial" w:hAnsi="Arial"/>
                <w:sz w:val="17"/>
                <w:szCs w:val="17"/>
                <w:color w:val="auto"/>
              </w:rPr>
              <w:t>56</w:t>
            </w: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6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2056130" cy="524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613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Abbott Laboratories Shareholder:</w:t>
      </w:r>
    </w:p>
    <w:p>
      <w:pPr>
        <w:spacing w:after="0" w:line="224" w:lineRule="exact"/>
        <w:rPr>
          <w:sz w:val="20"/>
          <w:szCs w:val="20"/>
          <w:color w:val="auto"/>
        </w:rPr>
      </w:pPr>
    </w:p>
    <w:p>
      <w:pPr>
        <w:ind w:right="220" w:firstLine="341"/>
        <w:spacing w:after="0" w:line="352" w:lineRule="auto"/>
        <w:rPr>
          <w:sz w:val="20"/>
          <w:szCs w:val="20"/>
          <w:color w:val="auto"/>
        </w:rPr>
      </w:pPr>
      <w:r>
        <w:rPr>
          <w:rFonts w:ascii="Arial" w:cs="Arial" w:eastAsia="Arial" w:hAnsi="Arial"/>
          <w:sz w:val="15"/>
          <w:szCs w:val="15"/>
          <w:color w:val="auto"/>
        </w:rPr>
        <w:t>In October 2011, we announced plans to separate into two leading, publicly traded health care companies—one in diversified medical products and the other in research-based pharmaceuticals. I am pleased to report that we are on track to operate as two leading health care companies, beginning January 1, 2013.</w:t>
      </w:r>
    </w:p>
    <w:p>
      <w:pPr>
        <w:spacing w:after="0" w:line="123" w:lineRule="exact"/>
        <w:rPr>
          <w:sz w:val="20"/>
          <w:szCs w:val="20"/>
          <w:color w:val="auto"/>
        </w:rPr>
      </w:pPr>
    </w:p>
    <w:p>
      <w:pPr>
        <w:jc w:val="both"/>
        <w:ind w:right="580" w:firstLine="338"/>
        <w:spacing w:after="0" w:line="270" w:lineRule="auto"/>
        <w:rPr>
          <w:sz w:val="20"/>
          <w:szCs w:val="20"/>
          <w:color w:val="auto"/>
        </w:rPr>
      </w:pPr>
      <w:r>
        <w:rPr>
          <w:rFonts w:ascii="Arial" w:cs="Arial" w:eastAsia="Arial" w:hAnsi="Arial"/>
          <w:sz w:val="17"/>
          <w:szCs w:val="17"/>
          <w:color w:val="auto"/>
        </w:rPr>
        <w:t>The Abbott name will remain with the diversified medical products company, which will consist of our existing businesses in medical devices, nutritional products, diagnostics, and our branded-generic pharmaceuticals sold outside the United States. AbbVie is the new name of our research-based pharmaceuticals company, which will include Abbott's current portfolio of proprietary pharmaceuticals and biologics.</w:t>
      </w:r>
    </w:p>
    <w:p>
      <w:pPr>
        <w:spacing w:after="0" w:line="179"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separation of our company into two distinct investment identities reflects long-term changes in the health care market that have led us over time to create distinctly different business models for these two businesses. Acknowledging this evolution by separating them into independent companies will allow each to more appropriately pursue its own strategies, and for both to be more effectively valued by investors.</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Both companies will have everything needed to be leaders in their respective industries on day one of independent operation. Both will be Fortune 200 companies with global infrastructure, leading products, and promising research and development pipelines. They will have strong balance sheets and significant cash flow. Both are expected to pay a dividend. We expect that both companies will receive strong credit ratings.</w:t>
      </w:r>
    </w:p>
    <w:p>
      <w:pPr>
        <w:spacing w:after="0" w:line="179" w:lineRule="exact"/>
        <w:rPr>
          <w:sz w:val="20"/>
          <w:szCs w:val="20"/>
          <w:color w:val="auto"/>
        </w:rPr>
      </w:pPr>
    </w:p>
    <w:p>
      <w:pPr>
        <w:ind w:right="200" w:firstLine="338"/>
        <w:spacing w:after="0" w:line="287" w:lineRule="auto"/>
        <w:rPr>
          <w:sz w:val="20"/>
          <w:szCs w:val="20"/>
          <w:color w:val="auto"/>
        </w:rPr>
      </w:pPr>
      <w:r>
        <w:rPr>
          <w:rFonts w:ascii="Arial" w:cs="Arial" w:eastAsia="Arial" w:hAnsi="Arial"/>
          <w:sz w:val="16"/>
          <w:szCs w:val="16"/>
          <w:color w:val="auto"/>
        </w:rPr>
        <w:t>They will be different in important ways, as well. AbbVie has a more intensive research focus, and a majority of its business is concentrated in developed markets. Abbott will retain a diverse portfolio of health care products and is expected to have a relatively higher growth rate as more of its business is in emerging markets, which are generally faster-growing than developed markets. But these attributes are not mutually exclusive. The Abbott businesses are also research-driven and have attractive margin profiles; and AbbVie will continue to be strong around the world, including in emerging markets.</w:t>
      </w:r>
    </w:p>
    <w:p>
      <w:pPr>
        <w:spacing w:after="0" w:line="169"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separation will provide current Abbott shareholders with ownership interests in both Abbott and AbbVie. The company expects to receive a ruling from the Internal Revenue Service acknowledging that the separation will be tax-free to Abbott shareholders. However, any cash you receive in lieu of fractional shares generally will be taxable to you.</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separation will be in the form of a pro rata distribution of all of the outstanding shares of AbbVie common stock to holders of Abbott common shares. Each</w:t>
      </w:r>
    </w:p>
    <w:p>
      <w:pPr>
        <w:spacing w:after="0" w:line="4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Abbott shareholder will receive share[s] of AbbVie common stock for each Abbott common share held on , 2012, the record date for the distribution. You do not need to take any action to receive shares of AbbVie common stock to which you are entitled as an Abbott shareholder. In addition, you do not need to pay any consideration or surrender or exchange your Abbott common shares.</w:t>
      </w:r>
    </w:p>
    <w:p>
      <w:pPr>
        <w:sectPr>
          <w:pgSz w:w="11900" w:h="16838" w:orient="portrait"/>
          <w:cols w:equalWidth="0" w:num="1">
            <w:col w:w="11420"/>
          </w:cols>
          <w:pgMar w:left="240" w:top="577" w:right="239" w:bottom="1440" w:gutter="0" w:footer="0" w:header="0"/>
        </w:sectPr>
      </w:pPr>
    </w:p>
    <w:p>
      <w:pPr>
        <w:spacing w:after="0" w:line="183"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color w:val="auto"/>
        </w:rPr>
        <w:t>I encourage you to read the attached information statement, which is being provided to all holders of Abbott shares as of statement describes the separation in detail and contains important business and financial information about AbbVie.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2012. The information</w:t>
      </w:r>
    </w:p>
    <w:p>
      <w:pPr>
        <w:spacing w:after="0" w:line="456" w:lineRule="exact"/>
        <w:rPr>
          <w:sz w:val="20"/>
          <w:szCs w:val="20"/>
          <w:color w:val="auto"/>
        </w:rPr>
      </w:pPr>
    </w:p>
    <w:p>
      <w:pPr>
        <w:sectPr>
          <w:pgSz w:w="11900" w:h="16838" w:orient="portrait"/>
          <w:cols w:equalWidth="0" w:num="2">
            <w:col w:w="8860" w:space="720"/>
            <w:col w:w="1840"/>
          </w:cols>
          <w:pgMar w:left="240" w:top="577" w:right="239" w:bottom="1440" w:gutter="0" w:footer="0" w:header="0"/>
          <w:type w:val="continuous"/>
        </w:sectPr>
      </w:pPr>
    </w:p>
    <w:p>
      <w:pPr>
        <w:ind w:right="400" w:firstLine="332"/>
        <w:spacing w:after="0" w:line="282" w:lineRule="auto"/>
        <w:rPr>
          <w:sz w:val="20"/>
          <w:szCs w:val="20"/>
          <w:color w:val="auto"/>
        </w:rPr>
      </w:pPr>
      <w:r>
        <w:rPr>
          <w:rFonts w:ascii="Arial" w:cs="Arial" w:eastAsia="Arial" w:hAnsi="Arial"/>
          <w:sz w:val="17"/>
          <w:szCs w:val="17"/>
          <w:color w:val="auto"/>
        </w:rPr>
        <w:t>As ever, we remain committed to working on your behalf to continue to build long-term shareholder value. This step is a positive one for our businesses, our shareholders, and for all the people we serve.</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Miles D. White</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type w:val="continuous"/>
        </w:sectPr>
      </w:pPr>
    </w:p>
    <w:bookmarkStart w:id="71" w:name="page72"/>
    <w:bookmarkEnd w:id="7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LOGO]</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Future AbbVie Stockholder:</w:t>
      </w:r>
    </w:p>
    <w:p>
      <w:pPr>
        <w:spacing w:after="0" w:line="224"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color w:val="auto"/>
        </w:rPr>
        <w:t>It is a great pleasure to welcome you as a future stockholder of our new company, AbbVie Inc., which will soon begin independent operation as an already-established health care industry leader in proprietary pharmaceuticals and biologics.</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will be a global, research-based pharmaceuticals company with a sustainable portfolio of market-leading products, including such brands as HUMIRA, Lupron, Synagis, Kaletra, and Creon and Synthroid in the United States. For our longer-term future, we have built a pipeline of new specialty medicines and formulations, including more than 20 new compounds or indications in Phase II or III development across such important medical specialties as immunology, renal care, hepatitis C, women's health, oncology, and neuroscience, including multiple sclerosis and Alzheimer's disease. We also have a number of new clinical indications in development for our market-leading anti-TNF biologic, HUMIRA.</w:t>
      </w:r>
    </w:p>
    <w:p>
      <w:pPr>
        <w:spacing w:after="0" w:line="187"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AbbVie's business model is distinctly different from Abbott's diversified model. The driver of our success will be the development and commercialization of new pharmaceuticals and biologics—discovered or developed in our own laboratories or by others. As a result of the separation, our stockholders will be able to evaluate the distinct merits, performance, and future prospects of AbbVie.</w:t>
      </w:r>
    </w:p>
    <w:p>
      <w:pPr>
        <w:spacing w:after="0" w:line="179"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 encourage you to learn more about AbbVie by reading the attached information statement. AbbVie intends to apply to have its common stock authorized for listing on the New York Stock Exchange under the symbol "ABBV."</w:t>
      </w:r>
    </w:p>
    <w:p>
      <w:pPr>
        <w:spacing w:after="0" w:line="170"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Our new company has a new name, of course. But it is a name that connects us to the great heritage of Abbott, with its almost 125 years of experience, tradition, and success. We are very proud of our enduring connection to Abbott's great history, and excited about the equally great future we see ahead of us.</w:t>
      </w:r>
    </w:p>
    <w:p>
      <w:pPr>
        <w:spacing w:after="0" w:line="146"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at AbbVie have been given a unique opportunity to create a new company with an equally strong heritage of success. We intend to make the absolute most of it—for the sake of all the people who depend upon us: our patients, our customers, and you, our fellow stockholders.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FF404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 AND SUBJECT TO COMPLETION, DATED OCTOBER 23,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STATEMENT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4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This information statement is being furnished in connection with the distribution by Abbott Laboratories (Abbott) to its shareholders of all of the outstanding shares of AbbVie Inc. (AbbVie) common stock, a wholly owned subsidiary of Abbott that will hold directly or indirectly the assets and liabilities associated with Abbott's research-based pharmaceuticals businesses. To implement the distribution, Abbott will distribute all of the shares of AbbVie common stock on a pro rata basis to the Abbott shareholders in a manner that is intended to be tax-free in the United States.</w:t>
      </w:r>
    </w:p>
    <w:p>
      <w:pPr>
        <w:spacing w:after="0" w:line="185" w:lineRule="exact"/>
        <w:rPr>
          <w:sz w:val="20"/>
          <w:szCs w:val="20"/>
          <w:color w:val="auto"/>
        </w:rPr>
      </w:pPr>
    </w:p>
    <w:p>
      <w:pPr>
        <w:ind w:right="340" w:firstLine="341"/>
        <w:spacing w:after="0" w:line="277" w:lineRule="auto"/>
        <w:rPr>
          <w:sz w:val="20"/>
          <w:szCs w:val="20"/>
          <w:color w:val="auto"/>
        </w:rPr>
      </w:pPr>
      <w:r>
        <w:rPr>
          <w:rFonts w:ascii="Arial" w:cs="Arial" w:eastAsia="Arial" w:hAnsi="Arial"/>
          <w:sz w:val="16"/>
          <w:szCs w:val="16"/>
          <w:color w:val="auto"/>
        </w:rPr>
        <w:t>For every common share of Abbott held of record by you as of the close of business on , 2012, the record date for the distribution, you will receive share[s] of AbbVie common stock. You will receive cash in lieu of any fractional shares of AbbVie common stock that you would have received after</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application of the above ratio. As discussed under "The Separation and Distribution—Trading Between the Record Date and Distribution Date," if you sell your Abbott common shares in the "regular-way" market after the record date and before the distribution, you also will be selling your right to receive shares of AbbVie common stock in connection with the separation. We expect the shares of AbbVie common stock to be distributed by Abbott Laboratories to you on January 1, 2013. We refer to the date of the distribution of the AbbVie common stock as the "distribution date."</w:t>
      </w:r>
    </w:p>
    <w:p>
      <w:pPr>
        <w:spacing w:after="0" w:line="186"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No vote of Abbott shareholders is required for the distribution. Therefore, you are not being asked for a proxy, and you are requested not to send Abbott a proxy, in connection with the distribution. You do not need to pay any consideration, exchange or surrender your existing Abbott common shares or take any other action to receive your shares of AbbVie common stock.</w:t>
      </w:r>
    </w:p>
    <w:p>
      <w:pPr>
        <w:spacing w:after="0" w:line="179"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There is no current trading market for AbbVie common stock, although we expect that a limited market, commonly known as a "when-issued" trading market, will develop on or shortly before the record date for the distribution, and we expect "regular-way" trading of AbbVie common stock to begin on the first trading day following the completion of the distribution. AbbVie intends to apply to have its common stock authorized for listing on the New York Stock Exchange (NYSE) under the symbol "ABBV."</w:t>
      </w:r>
    </w:p>
    <w:p>
      <w:pPr>
        <w:spacing w:after="0" w:line="167" w:lineRule="exact"/>
        <w:rPr>
          <w:sz w:val="20"/>
          <w:szCs w:val="20"/>
          <w:color w:val="auto"/>
        </w:rPr>
      </w:pPr>
    </w:p>
    <w:p>
      <w:pPr>
        <w:ind w:right="600" w:firstLine="341"/>
        <w:spacing w:after="0" w:line="265" w:lineRule="auto"/>
        <w:rPr>
          <w:sz w:val="20"/>
          <w:szCs w:val="20"/>
          <w:color w:val="auto"/>
        </w:rPr>
      </w:pPr>
      <w:r>
        <w:rPr>
          <w:rFonts w:ascii="Arial" w:cs="Arial" w:eastAsia="Arial" w:hAnsi="Arial"/>
          <w:sz w:val="21"/>
          <w:szCs w:val="21"/>
          <w:b w:val="1"/>
          <w:bCs w:val="1"/>
          <w:color w:val="auto"/>
        </w:rPr>
        <w:t>In reviewing this information statement, you should carefully consider the matters described under the caption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111760</wp:posOffset>
            </wp:positionV>
            <wp:extent cx="19062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1"/>
        <w:spacing w:after="0" w:line="287"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This information statement does not constitute an offer to sell or the solicitation of an offer to buy any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jc w:val="center"/>
              <w:ind w:left="3155"/>
              <w:spacing w:after="0"/>
              <w:rPr>
                <w:sz w:val="20"/>
                <w:szCs w:val="20"/>
                <w:color w:val="auto"/>
              </w:rPr>
            </w:pPr>
            <w:r>
              <w:rPr>
                <w:rFonts w:ascii="Arial" w:cs="Arial" w:eastAsia="Arial" w:hAnsi="Arial"/>
                <w:sz w:val="17"/>
                <w:szCs w:val="17"/>
                <w:color w:val="auto"/>
                <w:w w:val="91"/>
              </w:rPr>
              <w:t>The date of this information statement is</w:t>
            </w:r>
          </w:p>
        </w:tc>
        <w:tc>
          <w:tcPr>
            <w:tcW w:w="1400" w:type="dxa"/>
            <w:vAlign w:val="bottom"/>
          </w:tcPr>
          <w:p>
            <w:pPr>
              <w:jc w:val="right"/>
              <w:ind w:right="335"/>
              <w:spacing w:after="0"/>
              <w:rPr>
                <w:sz w:val="20"/>
                <w:szCs w:val="20"/>
                <w:color w:val="auto"/>
              </w:rPr>
            </w:pPr>
            <w:r>
              <w:rPr>
                <w:rFonts w:ascii="Arial" w:cs="Arial" w:eastAsia="Arial" w:hAnsi="Arial"/>
                <w:sz w:val="17"/>
                <w:szCs w:val="17"/>
                <w:color w:val="auto"/>
              </w:rPr>
              <w:t>, 2012.</w:t>
            </w:r>
          </w:p>
        </w:tc>
        <w:tc>
          <w:tcPr>
            <w:tcW w:w="2980" w:type="dxa"/>
            <w:vAlign w:val="bottom"/>
          </w:tcPr>
          <w:p>
            <w:pPr>
              <w:spacing w:after="0"/>
              <w:rPr>
                <w:sz w:val="18"/>
                <w:szCs w:val="18"/>
                <w:color w:val="auto"/>
              </w:rPr>
            </w:pPr>
          </w:p>
        </w:tc>
      </w:tr>
      <w:tr>
        <w:trPr>
          <w:trHeight w:val="419"/>
        </w:trPr>
        <w:tc>
          <w:tcPr>
            <w:tcW w:w="8440" w:type="dxa"/>
            <w:vAlign w:val="bottom"/>
            <w:gridSpan w:val="2"/>
          </w:tcPr>
          <w:p>
            <w:pPr>
              <w:jc w:val="center"/>
              <w:ind w:left="1755"/>
              <w:spacing w:after="0"/>
              <w:rPr>
                <w:sz w:val="20"/>
                <w:szCs w:val="20"/>
                <w:color w:val="auto"/>
              </w:rPr>
            </w:pPr>
            <w:r>
              <w:rPr>
                <w:rFonts w:ascii="Arial" w:cs="Arial" w:eastAsia="Arial" w:hAnsi="Arial"/>
                <w:sz w:val="17"/>
                <w:szCs w:val="17"/>
                <w:color w:val="auto"/>
                <w:w w:val="91"/>
              </w:rPr>
              <w:t>This information statement was first mailed to Abbott shareholders on or about</w:t>
            </w:r>
          </w:p>
        </w:tc>
        <w:tc>
          <w:tcPr>
            <w:tcW w:w="2980" w:type="dxa"/>
            <w:vAlign w:val="bottom"/>
          </w:tcPr>
          <w:p>
            <w:pPr>
              <w:jc w:val="right"/>
              <w:ind w:right="2015"/>
              <w:spacing w:after="0"/>
              <w:rPr>
                <w:sz w:val="20"/>
                <w:szCs w:val="20"/>
                <w:color w:val="auto"/>
              </w:rPr>
            </w:pPr>
            <w:r>
              <w:rPr>
                <w:rFonts w:ascii="Arial" w:cs="Arial" w:eastAsia="Arial" w:hAnsi="Arial"/>
                <w:sz w:val="17"/>
                <w:szCs w:val="17"/>
                <w:color w:val="auto"/>
              </w:rPr>
              <w:t>, 2012.</w:t>
            </w:r>
          </w:p>
        </w:tc>
      </w:tr>
      <w:tr>
        <w:trPr>
          <w:trHeight w:val="222"/>
        </w:trPr>
        <w:tc>
          <w:tcPr>
            <w:tcW w:w="70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jc w:val="center"/>
        <w:ind w:right="-9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4200" w:type="dxa"/>
            <w:vAlign w:val="bottom"/>
            <w:gridSpan w:val="15"/>
            <w:vMerge w:val="restart"/>
          </w:tcPr>
          <w:p>
            <w:pPr>
              <w:spacing w:after="0"/>
              <w:rPr>
                <w:rFonts w:ascii="Arial" w:cs="Arial" w:eastAsia="Arial" w:hAnsi="Arial"/>
                <w:sz w:val="17"/>
                <w:szCs w:val="17"/>
                <w:color w:val="0000EE"/>
                <w:w w:val="89"/>
              </w:rPr>
            </w:pPr>
            <w:hyperlink w:anchor="page75">
              <w:r>
                <w:rPr>
                  <w:rFonts w:ascii="Arial" w:cs="Arial" w:eastAsia="Arial" w:hAnsi="Arial"/>
                  <w:sz w:val="17"/>
                  <w:szCs w:val="17"/>
                  <w:color w:val="0000EE"/>
                  <w:w w:val="89"/>
                </w:rPr>
                <w:t>Questions and Answers about the Separation and Distribution</w:t>
              </w:r>
            </w:hyperlink>
          </w:p>
        </w:tc>
        <w:tc>
          <w:tcPr>
            <w:tcW w:w="4340" w:type="dxa"/>
            <w:vAlign w:val="bottom"/>
            <w:gridSpan w:val="5"/>
            <w:vMerge w:val="restart"/>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4200" w:type="dxa"/>
            <w:vAlign w:val="bottom"/>
            <w:gridSpan w:val="15"/>
            <w:vMerge w:val="continue"/>
          </w:tcPr>
          <w:p>
            <w:pPr>
              <w:spacing w:after="0"/>
              <w:rPr>
                <w:sz w:val="14"/>
                <w:szCs w:val="14"/>
                <w:color w:val="auto"/>
              </w:rPr>
            </w:pPr>
          </w:p>
        </w:tc>
        <w:tc>
          <w:tcPr>
            <w:tcW w:w="4340" w:type="dxa"/>
            <w:vAlign w:val="bottom"/>
            <w:gridSpan w:val="5"/>
            <w:vMerge w:val="continue"/>
          </w:tcPr>
          <w:p>
            <w:pPr>
              <w:spacing w:after="0"/>
              <w:rPr>
                <w:sz w:val="14"/>
                <w:szCs w:val="14"/>
                <w:color w:val="auto"/>
              </w:rPr>
            </w:pPr>
          </w:p>
        </w:tc>
        <w:tc>
          <w:tcPr>
            <w:tcW w:w="420" w:type="dxa"/>
            <w:vAlign w:val="bottom"/>
            <w:tcBorders>
              <w:top w:val="single" w:sz="8" w:color="auto"/>
            </w:tcBorders>
            <w:gridSpan w:val="3"/>
          </w:tcPr>
          <w:p>
            <w:pPr>
              <w:jc w:val="right"/>
              <w:spacing w:after="0" w:line="163" w:lineRule="exact"/>
              <w:rPr>
                <w:rFonts w:ascii="Arial" w:cs="Arial" w:eastAsia="Arial" w:hAnsi="Arial"/>
                <w:sz w:val="17"/>
                <w:szCs w:val="17"/>
                <w:color w:val="0000EE"/>
              </w:rPr>
            </w:pPr>
            <w:hyperlink w:anchor="page75">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gridSpan w:val="7"/>
          </w:tcPr>
          <w:p>
            <w:pPr>
              <w:spacing w:after="0" w:line="189" w:lineRule="exact"/>
              <w:rPr>
                <w:rFonts w:ascii="Arial" w:cs="Arial" w:eastAsia="Arial" w:hAnsi="Arial"/>
                <w:sz w:val="17"/>
                <w:szCs w:val="17"/>
                <w:color w:val="0000EE"/>
                <w:w w:val="87"/>
              </w:rPr>
            </w:pPr>
            <w:hyperlink w:anchor="page82">
              <w:r>
                <w:rPr>
                  <w:rFonts w:ascii="Arial" w:cs="Arial" w:eastAsia="Arial" w:hAnsi="Arial"/>
                  <w:sz w:val="17"/>
                  <w:szCs w:val="17"/>
                  <w:color w:val="0000EE"/>
                  <w:w w:val="87"/>
                </w:rPr>
                <w:t>Information Statement Summary</w:t>
              </w:r>
            </w:hyperlink>
          </w:p>
        </w:tc>
        <w:tc>
          <w:tcPr>
            <w:tcW w:w="2020" w:type="dxa"/>
            <w:vAlign w:val="bottom"/>
            <w:gridSpan w:val="8"/>
          </w:tcPr>
          <w:p>
            <w:pPr>
              <w:spacing w:after="0"/>
              <w:rPr>
                <w:sz w:val="16"/>
                <w:szCs w:val="16"/>
                <w:color w:val="auto"/>
              </w:rPr>
            </w:pPr>
          </w:p>
        </w:tc>
        <w:tc>
          <w:tcPr>
            <w:tcW w:w="4340" w:type="dxa"/>
            <w:vAlign w:val="bottom"/>
            <w:gridSpan w:val="5"/>
          </w:tcPr>
          <w:p>
            <w:pPr>
              <w:spacing w:after="0"/>
              <w:rPr>
                <w:sz w:val="16"/>
                <w:szCs w:val="16"/>
                <w:color w:val="auto"/>
              </w:rPr>
            </w:pPr>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Summary Historical and Unaudited Pro Forma Combined Financial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190"/>
        </w:trPr>
        <w:tc>
          <w:tcPr>
            <w:tcW w:w="54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Risk Factors</w:t>
              </w:r>
            </w:hyperlink>
          </w:p>
        </w:tc>
        <w:tc>
          <w:tcPr>
            <w:tcW w:w="3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90">
              <w:r>
                <w:rPr>
                  <w:rFonts w:ascii="Arial" w:cs="Arial" w:eastAsia="Arial" w:hAnsi="Arial"/>
                  <w:sz w:val="17"/>
                  <w:szCs w:val="17"/>
                  <w:color w:val="0000EE"/>
                  <w:w w:val="84"/>
                </w:rPr>
                <w:t>16</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10">
              <w:r>
                <w:rPr>
                  <w:rFonts w:ascii="Arial" w:cs="Arial" w:eastAsia="Arial" w:hAnsi="Arial"/>
                  <w:sz w:val="17"/>
                  <w:szCs w:val="17"/>
                  <w:color w:val="0000EE"/>
                  <w:w w:val="90"/>
                </w:rPr>
                <w:t>Cautionary Statement Concerning Forward-Looking Statements</w:t>
              </w:r>
            </w:hyperlink>
          </w:p>
        </w:tc>
        <w:tc>
          <w:tcPr>
            <w:tcW w:w="418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Dividend Policy</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4"/>
          </w:tcPr>
          <w:p>
            <w:pPr>
              <w:spacing w:after="0" w:line="189" w:lineRule="exact"/>
              <w:rPr>
                <w:rFonts w:ascii="Arial" w:cs="Arial" w:eastAsia="Arial" w:hAnsi="Arial"/>
                <w:sz w:val="17"/>
                <w:szCs w:val="17"/>
                <w:color w:val="0000EE"/>
              </w:rPr>
            </w:pPr>
            <w:hyperlink w:anchor="page112">
              <w:r>
                <w:rPr>
                  <w:rFonts w:ascii="Arial" w:cs="Arial" w:eastAsia="Arial" w:hAnsi="Arial"/>
                  <w:sz w:val="17"/>
                  <w:szCs w:val="17"/>
                  <w:color w:val="0000EE"/>
                </w:rPr>
                <w:t>Capitalization</w:t>
              </w:r>
            </w:hyperlink>
          </w:p>
        </w:tc>
        <w:tc>
          <w:tcPr>
            <w:tcW w:w="744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12">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Unaudited Pro Forma Combined Financial Statements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39</w:t>
              </w:r>
            </w:hyperlink>
          </w:p>
        </w:tc>
        <w:tc>
          <w:tcPr>
            <w:tcW w:w="0" w:type="dxa"/>
            <w:vAlign w:val="bottom"/>
          </w:tcPr>
          <w:p>
            <w:pPr>
              <w:spacing w:after="0"/>
              <w:rPr>
                <w:sz w:val="1"/>
                <w:szCs w:val="1"/>
                <w:color w:val="auto"/>
              </w:rPr>
            </w:pPr>
          </w:p>
        </w:tc>
      </w:tr>
      <w:tr>
        <w:trPr>
          <w:trHeight w:val="190"/>
        </w:trPr>
        <w:tc>
          <w:tcPr>
            <w:tcW w:w="308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Selected Historical Combined Financial Data</w:t>
              </w:r>
            </w:hyperlink>
          </w:p>
        </w:tc>
        <w:tc>
          <w:tcPr>
            <w:tcW w:w="600" w:type="dxa"/>
            <w:vAlign w:val="bottom"/>
            <w:tcBorders>
              <w:top w:val="single" w:sz="8" w:color="0000EE"/>
            </w:tcBorders>
            <w:gridSpan w:val="2"/>
          </w:tcPr>
          <w:p>
            <w:pPr>
              <w:spacing w:after="0"/>
              <w:rPr>
                <w:sz w:val="16"/>
                <w:szCs w:val="16"/>
                <w:color w:val="auto"/>
              </w:rPr>
            </w:pPr>
          </w:p>
        </w:tc>
        <w:tc>
          <w:tcPr>
            <w:tcW w:w="486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19">
              <w:r>
                <w:rPr>
                  <w:rFonts w:ascii="Arial" w:cs="Arial" w:eastAsia="Arial" w:hAnsi="Arial"/>
                  <w:sz w:val="17"/>
                  <w:szCs w:val="17"/>
                  <w:color w:val="0000EE"/>
                  <w:w w:val="84"/>
                </w:rPr>
                <w:t>45</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19"/>
          </w:tcPr>
          <w:p>
            <w:pPr>
              <w:spacing w:after="0" w:line="189" w:lineRule="exact"/>
              <w:rPr>
                <w:rFonts w:ascii="Arial" w:cs="Arial" w:eastAsia="Arial" w:hAnsi="Arial"/>
                <w:sz w:val="17"/>
                <w:szCs w:val="17"/>
                <w:color w:val="0000EE"/>
                <w:w w:val="90"/>
              </w:rPr>
            </w:pPr>
            <w:hyperlink w:anchor="page120">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20">
              <w:r>
                <w:rPr>
                  <w:rFonts w:ascii="Arial" w:cs="Arial" w:eastAsia="Arial" w:hAnsi="Arial"/>
                  <w:sz w:val="17"/>
                  <w:szCs w:val="17"/>
                  <w:color w:val="0000EE"/>
                  <w:w w:val="84"/>
                </w:rPr>
                <w:t>46</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tcPr>
          <w:p>
            <w:pPr>
              <w:spacing w:after="0" w:line="189" w:lineRule="exact"/>
              <w:rPr>
                <w:rFonts w:ascii="Arial" w:cs="Arial" w:eastAsia="Arial" w:hAnsi="Arial"/>
                <w:sz w:val="17"/>
                <w:szCs w:val="17"/>
                <w:color w:val="0000EE"/>
                <w:w w:val="84"/>
              </w:rPr>
            </w:pPr>
            <w:hyperlink w:anchor="page143">
              <w:r>
                <w:rPr>
                  <w:rFonts w:ascii="Arial" w:cs="Arial" w:eastAsia="Arial" w:hAnsi="Arial"/>
                  <w:sz w:val="17"/>
                  <w:szCs w:val="17"/>
                  <w:color w:val="0000EE"/>
                  <w:w w:val="84"/>
                </w:rPr>
                <w:t>Business</w:t>
              </w:r>
            </w:hyperlink>
          </w:p>
        </w:tc>
        <w:tc>
          <w:tcPr>
            <w:tcW w:w="7940" w:type="dxa"/>
            <w:vAlign w:val="bottom"/>
            <w:gridSpan w:val="19"/>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43">
              <w:r>
                <w:rPr>
                  <w:rFonts w:ascii="Arial" w:cs="Arial" w:eastAsia="Arial" w:hAnsi="Arial"/>
                  <w:sz w:val="17"/>
                  <w:szCs w:val="17"/>
                  <w:color w:val="0000EE"/>
                  <w:w w:val="84"/>
                </w:rPr>
                <w:t>69</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Management</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88</w:t>
              </w:r>
            </w:hyperlink>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70">
              <w:r>
                <w:rPr>
                  <w:rFonts w:ascii="Arial" w:cs="Arial" w:eastAsia="Arial" w:hAnsi="Arial"/>
                  <w:sz w:val="17"/>
                  <w:szCs w:val="17"/>
                  <w:color w:val="0000EE"/>
                  <w:w w:val="90"/>
                </w:rPr>
                <w:t>Compensation Discussion and Analysis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96</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Executive Compensation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109</w:t>
              </w:r>
            </w:hyperlink>
          </w:p>
        </w:tc>
        <w:tc>
          <w:tcPr>
            <w:tcW w:w="0" w:type="dxa"/>
            <w:vAlign w:val="bottom"/>
          </w:tcPr>
          <w:p>
            <w:pPr>
              <w:spacing w:after="0"/>
              <w:rPr>
                <w:sz w:val="1"/>
                <w:szCs w:val="1"/>
                <w:color w:val="auto"/>
              </w:rPr>
            </w:pPr>
          </w:p>
        </w:tc>
      </w:tr>
      <w:tr>
        <w:trPr>
          <w:trHeight w:val="20"/>
        </w:trPr>
        <w:tc>
          <w:tcPr>
            <w:tcW w:w="17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07">
              <w:r>
                <w:rPr>
                  <w:rFonts w:ascii="Arial" w:cs="Arial" w:eastAsia="Arial" w:hAnsi="Arial"/>
                  <w:sz w:val="17"/>
                  <w:szCs w:val="17"/>
                  <w:color w:val="0000EE"/>
                </w:rPr>
                <w:t>Certain Relationships and Related Person Transactions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07">
              <w:r>
                <w:rPr>
                  <w:rFonts w:ascii="Arial" w:cs="Arial" w:eastAsia="Arial" w:hAnsi="Arial"/>
                  <w:sz w:val="17"/>
                  <w:szCs w:val="17"/>
                  <w:color w:val="0000EE"/>
                </w:rPr>
                <w:t>133</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220">
              <w:r>
                <w:rPr>
                  <w:rFonts w:ascii="Arial" w:cs="Arial" w:eastAsia="Arial" w:hAnsi="Arial"/>
                  <w:sz w:val="17"/>
                  <w:szCs w:val="17"/>
                  <w:color w:val="0000EE"/>
                  <w:w w:val="91"/>
                </w:rPr>
                <w:t>Security Ownership of Certain Beneficial Owners and Management</w:t>
              </w:r>
            </w:hyperlink>
          </w:p>
        </w:tc>
        <w:tc>
          <w:tcPr>
            <w:tcW w:w="39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220">
              <w:r>
                <w:rPr>
                  <w:rFonts w:ascii="Arial" w:cs="Arial" w:eastAsia="Arial" w:hAnsi="Arial"/>
                  <w:sz w:val="13"/>
                  <w:szCs w:val="13"/>
                  <w:color w:val="0000EE"/>
                  <w:w w:val="73"/>
                </w:rPr>
                <w:t>146</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21">
              <w:r>
                <w:rPr>
                  <w:rFonts w:ascii="Arial" w:cs="Arial" w:eastAsia="Arial" w:hAnsi="Arial"/>
                  <w:sz w:val="17"/>
                  <w:szCs w:val="17"/>
                  <w:color w:val="0000EE"/>
                </w:rPr>
                <w:t>The Separation and Distribution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21">
              <w:r>
                <w:rPr>
                  <w:rFonts w:ascii="Arial" w:cs="Arial" w:eastAsia="Arial" w:hAnsi="Arial"/>
                  <w:sz w:val="17"/>
                  <w:szCs w:val="17"/>
                  <w:color w:val="0000EE"/>
                </w:rPr>
                <w:t>147</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227">
              <w:r>
                <w:rPr>
                  <w:rFonts w:ascii="Arial" w:cs="Arial" w:eastAsia="Arial" w:hAnsi="Arial"/>
                  <w:sz w:val="17"/>
                  <w:szCs w:val="17"/>
                  <w:color w:val="0000EE"/>
                  <w:w w:val="89"/>
                </w:rPr>
                <w:t>Material U.S. Federal Income Tax Consequences</w:t>
              </w:r>
            </w:hyperlink>
          </w:p>
        </w:tc>
        <w:tc>
          <w:tcPr>
            <w:tcW w:w="5200" w:type="dxa"/>
            <w:vAlign w:val="bottom"/>
            <w:gridSpan w:val="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227">
              <w:r>
                <w:rPr>
                  <w:rFonts w:ascii="Arial" w:cs="Arial" w:eastAsia="Arial" w:hAnsi="Arial"/>
                  <w:sz w:val="13"/>
                  <w:szCs w:val="13"/>
                  <w:color w:val="0000EE"/>
                  <w:w w:val="73"/>
                </w:rPr>
                <w:t>153</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0">
              <w:r>
                <w:rPr>
                  <w:rFonts w:ascii="Arial" w:cs="Arial" w:eastAsia="Arial" w:hAnsi="Arial"/>
                  <w:sz w:val="17"/>
                  <w:szCs w:val="17"/>
                  <w:color w:val="0000EE"/>
                </w:rPr>
                <w:t>Description of Material Indebtedness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0">
              <w:r>
                <w:rPr>
                  <w:rFonts w:ascii="Arial" w:cs="Arial" w:eastAsia="Arial" w:hAnsi="Arial"/>
                  <w:sz w:val="17"/>
                  <w:szCs w:val="17"/>
                  <w:color w:val="0000EE"/>
                </w:rPr>
                <w:t>156</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1">
              <w:r>
                <w:rPr>
                  <w:rFonts w:ascii="Arial" w:cs="Arial" w:eastAsia="Arial" w:hAnsi="Arial"/>
                  <w:sz w:val="17"/>
                  <w:szCs w:val="17"/>
                  <w:color w:val="0000EE"/>
                </w:rPr>
                <w:t>Description of AbbVie's Capital Stock</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1">
              <w:r>
                <w:rPr>
                  <w:rFonts w:ascii="Arial" w:cs="Arial" w:eastAsia="Arial" w:hAnsi="Arial"/>
                  <w:sz w:val="17"/>
                  <w:szCs w:val="17"/>
                  <w:color w:val="0000EE"/>
                </w:rPr>
                <w:t>157</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5">
              <w:r>
                <w:rPr>
                  <w:rFonts w:ascii="Arial" w:cs="Arial" w:eastAsia="Arial" w:hAnsi="Arial"/>
                  <w:sz w:val="17"/>
                  <w:szCs w:val="17"/>
                  <w:color w:val="0000EE"/>
                </w:rPr>
                <w:t>Where You Can Find More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5">
              <w:r>
                <w:rPr>
                  <w:rFonts w:ascii="Arial" w:cs="Arial" w:eastAsia="Arial" w:hAnsi="Arial"/>
                  <w:sz w:val="17"/>
                  <w:szCs w:val="17"/>
                  <w:color w:val="0000EE"/>
                </w:rPr>
                <w:t>161</w:t>
              </w:r>
            </w:hyperlink>
          </w:p>
        </w:tc>
        <w:tc>
          <w:tcPr>
            <w:tcW w:w="0" w:type="dxa"/>
            <w:vAlign w:val="bottom"/>
          </w:tcPr>
          <w:p>
            <w:pPr>
              <w:spacing w:after="0"/>
              <w:rPr>
                <w:sz w:val="1"/>
                <w:szCs w:val="1"/>
                <w:color w:val="auto"/>
              </w:rPr>
            </w:pPr>
          </w:p>
        </w:tc>
      </w:tr>
      <w:tr>
        <w:trPr>
          <w:trHeight w:val="190"/>
        </w:trPr>
        <w:tc>
          <w:tcPr>
            <w:tcW w:w="270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236">
              <w:r>
                <w:rPr>
                  <w:rFonts w:ascii="Arial" w:cs="Arial" w:eastAsia="Arial" w:hAnsi="Arial"/>
                  <w:sz w:val="17"/>
                  <w:szCs w:val="17"/>
                  <w:color w:val="0000EE"/>
                </w:rPr>
                <w:t>Index to Financial Statements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spacing w:after="0" w:line="189" w:lineRule="exact"/>
              <w:rPr>
                <w:rFonts w:ascii="Arial" w:cs="Arial" w:eastAsia="Arial" w:hAnsi="Arial"/>
                <w:sz w:val="17"/>
                <w:szCs w:val="17"/>
                <w:color w:val="0000EE"/>
                <w:w w:val="70"/>
              </w:rPr>
            </w:pPr>
            <w:hyperlink w:anchor="page236">
              <w:r>
                <w:rPr>
                  <w:rFonts w:ascii="Arial" w:cs="Arial" w:eastAsia="Arial" w:hAnsi="Arial"/>
                  <w:sz w:val="17"/>
                  <w:szCs w:val="17"/>
                  <w:color w:val="0000EE"/>
                  <w:w w:val="70"/>
                </w:rPr>
                <w:t>F-1</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Presentation of Information</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Except as otherwise indicated or unless the context otherwise requires, the information included in this information statement about AbbVie assumes the completion of all of the transactions referred to in this information statement in connection with the separation and distribution. Unless the context otherwise requires, references in this information statement to "AbbVie" and "the company" refer to AbbVie Inc., a Delaware corporation, and its combined subsidiaries. References to AbbVie's historical business and operations refer to the business and operations of Abbott's research-based pharmaceuticals products business that will be transferred to AbbVie in connection with the separation and distribution. References in this information statement to "Abbott" and "Abbott Laboratories" refer to Abbott Laboratories, an Illinois corporation, and its consolidated subsidiaries, unless the context otherwise requires.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28" w:lineRule="exact"/>
        <w:rPr>
          <w:sz w:val="20"/>
          <w:szCs w:val="20"/>
          <w:color w:val="auto"/>
        </w:rPr>
      </w:pPr>
    </w:p>
    <w:p>
      <w:pPr>
        <w:ind w:right="80" w:firstLine="332"/>
        <w:spacing w:after="0" w:line="262" w:lineRule="auto"/>
        <w:rPr>
          <w:sz w:val="20"/>
          <w:szCs w:val="20"/>
          <w:color w:val="auto"/>
        </w:rPr>
      </w:pPr>
      <w:r>
        <w:rPr>
          <w:rFonts w:ascii="Arial" w:cs="Arial" w:eastAsia="Arial" w:hAnsi="Arial"/>
          <w:sz w:val="17"/>
          <w:szCs w:val="17"/>
          <w:color w:val="auto"/>
        </w:rPr>
        <w:t>AbbVie owns or has rights to use the trademarks, service marks and trade names that it uses in conjunction with the operation of its business. Some of the more important trademarks that AbbVie owns or has rights to use that appear in this information statement include: Aluvia®, AndroGel®, Biaxin®, Creon®, Duodopa®, HUMIRA®, Kaletra®, Lucrin®, Lupron®, Lupron Depot®, Niaspan®, Norvir®, Sevorane®, Simcor®, Synagis®, Synthroid®, TriCor®, Trilipix®, Ultane®, and Zemplar®, which may be registered or trademarked in the United States and other jurisdictions. AbbVie's rights to some of these trademarks may be limited to select markets. Each trademark, trade name or service mark of any other company appearing in this information statement is, to AbbVie's knowledge, owned by such other company.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QUESTIONS AND ANSWERS ABOUT THE SEPARATION AND DISTRIBUTION</w:t>
      </w:r>
    </w:p>
    <w:p>
      <w:pPr>
        <w:sectPr>
          <w:pgSz w:w="11900" w:h="16838" w:orient="portrait"/>
          <w:cols w:equalWidth="0" w:num="1">
            <w:col w:w="11420"/>
          </w:cols>
          <w:pgMar w:left="240" w:top="131" w:right="239" w:bottom="1440" w:gutter="0" w:footer="0" w:header="0"/>
        </w:sectPr>
      </w:pPr>
    </w:p>
    <w:p>
      <w:pPr>
        <w:spacing w:after="0" w:line="240" w:lineRule="exact"/>
        <w:rPr>
          <w:sz w:val="20"/>
          <w:szCs w:val="20"/>
          <w:color w:val="auto"/>
        </w:rPr>
      </w:pPr>
    </w:p>
    <w:p>
      <w:pPr>
        <w:ind w:left="180" w:hanging="174"/>
        <w:spacing w:after="0" w:line="322" w:lineRule="auto"/>
        <w:rPr>
          <w:sz w:val="20"/>
          <w:szCs w:val="20"/>
          <w:color w:val="auto"/>
        </w:rPr>
      </w:pPr>
      <w:r>
        <w:rPr>
          <w:rFonts w:ascii="Arial" w:cs="Arial" w:eastAsia="Arial" w:hAnsi="Arial"/>
          <w:sz w:val="15"/>
          <w:szCs w:val="15"/>
          <w:b w:val="1"/>
          <w:bCs w:val="1"/>
          <w:i w:val="1"/>
          <w:iCs w:val="1"/>
          <w:color w:val="auto"/>
        </w:rPr>
        <w:t>What is AbbVie and why is Abbott separating AbbVie's business and distributing AbbVie's stock?</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AbbVie Inc., which is currently a wholly owned subsidiary of Abbott, was formed to hold Abbott's research-based pharmaceuticals business. The separation of AbbVie from Abbott and the distribution of AbbVie common stock are intended to provide you with equity investments in two separate companies that will be able to focus on each of their respective businesses. Abbott and AbbVie expect that the separation will result in enhanced long-term performance of each business for the reasons discussed in the sections entitled "The Separation and Distribution—Background" and "The Separation and Distribution—Reasons for the Separation."</w:t>
      </w:r>
    </w:p>
    <w:p>
      <w:pPr>
        <w:spacing w:after="0" w:line="188" w:lineRule="exact"/>
        <w:rPr>
          <w:sz w:val="20"/>
          <w:szCs w:val="20"/>
          <w:color w:val="auto"/>
        </w:rPr>
      </w:pPr>
    </w:p>
    <w:p>
      <w:pPr>
        <w:sectPr>
          <w:pgSz w:w="11900" w:h="16838" w:orient="portrait"/>
          <w:cols w:equalWidth="0" w:num="2">
            <w:col w:w="2520" w:space="500"/>
            <w:col w:w="8400"/>
          </w:cols>
          <w:pgMar w:left="240" w:top="131"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Abbott is delivering this document to you because you are a holder of Abbott common shares. If you are a holder of</w:t>
      </w:r>
    </w:p>
    <w:p>
      <w:pPr>
        <w:spacing w:after="0" w:line="4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Abbott common shares on , 2012, you are entitled to receive share[s] of AbbVie common stock for each Abbott common share that you held at the close of business on such date. This document will help you understand how the separation and distribution will affect your investment in Abbott and your investment in AbbVie after the separation.</w:t>
      </w:r>
    </w:p>
    <w:p>
      <w:pPr>
        <w:spacing w:after="0" w:line="186" w:lineRule="exact"/>
        <w:rPr>
          <w:sz w:val="20"/>
          <w:szCs w:val="20"/>
          <w:color w:val="auto"/>
        </w:rPr>
      </w:pPr>
    </w:p>
    <w:p>
      <w:pPr>
        <w:sectPr>
          <w:pgSz w:w="11900" w:h="16838" w:orient="portrait"/>
          <w:cols w:equalWidth="0" w:num="2">
            <w:col w:w="2500" w:space="520"/>
            <w:col w:w="8400"/>
          </w:cols>
          <w:pgMar w:left="240" w:top="131" w:right="239" w:bottom="1440" w:gutter="0" w:footer="0" w:header="0"/>
          <w:type w:val="continuous"/>
        </w:sect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How will the separation of AbbVie from</w:t>
      </w:r>
      <w:r>
        <w:rPr>
          <w:sz w:val="20"/>
          <w:szCs w:val="20"/>
          <w:color w:val="auto"/>
        </w:rPr>
        <w:tab/>
      </w:r>
      <w:r>
        <w:rPr>
          <w:rFonts w:ascii="Arial" w:cs="Arial" w:eastAsia="Arial" w:hAnsi="Arial"/>
          <w:sz w:val="15"/>
          <w:szCs w:val="15"/>
          <w:color w:val="auto"/>
        </w:rPr>
        <w:t>To accomplish the separation, Abbott will distribute all of the outstanding shares of AbbVie common stock to Abbott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80"/>
              <w:spacing w:after="0"/>
              <w:rPr>
                <w:sz w:val="20"/>
                <w:szCs w:val="20"/>
                <w:color w:val="auto"/>
              </w:rPr>
            </w:pPr>
            <w:r>
              <w:rPr>
                <w:rFonts w:ascii="Arial" w:cs="Arial" w:eastAsia="Arial" w:hAnsi="Arial"/>
                <w:sz w:val="17"/>
                <w:szCs w:val="17"/>
                <w:b w:val="1"/>
                <w:bCs w:val="1"/>
                <w:i w:val="1"/>
                <w:iCs w:val="1"/>
                <w:color w:val="auto"/>
              </w:rPr>
              <w:t>Abbott work?</w:t>
            </w:r>
          </w:p>
        </w:tc>
        <w:tc>
          <w:tcPr>
            <w:tcW w:w="3920" w:type="dxa"/>
            <w:vAlign w:val="bottom"/>
          </w:tcPr>
          <w:p>
            <w:pPr>
              <w:ind w:left="260"/>
              <w:spacing w:after="0"/>
              <w:rPr>
                <w:sz w:val="20"/>
                <w:szCs w:val="20"/>
                <w:color w:val="auto"/>
              </w:rPr>
            </w:pPr>
            <w:r>
              <w:rPr>
                <w:rFonts w:ascii="Arial" w:cs="Arial" w:eastAsia="Arial" w:hAnsi="Arial"/>
                <w:sz w:val="17"/>
                <w:szCs w:val="17"/>
                <w:color w:val="auto"/>
                <w:w w:val="97"/>
              </w:rPr>
              <w:t>shareholders on a pro rata basis as a distribution.</w:t>
            </w:r>
          </w:p>
        </w:tc>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07"/>
        </w:trPr>
        <w:tc>
          <w:tcPr>
            <w:tcW w:w="2760" w:type="dxa"/>
            <w:vAlign w:val="bottom"/>
          </w:tcPr>
          <w:p>
            <w:pPr>
              <w:spacing w:after="0"/>
              <w:rPr>
                <w:sz w:val="20"/>
                <w:szCs w:val="20"/>
                <w:color w:val="auto"/>
              </w:rPr>
            </w:pPr>
            <w:r>
              <w:rPr>
                <w:rFonts w:ascii="Arial" w:cs="Arial" w:eastAsia="Arial" w:hAnsi="Arial"/>
                <w:sz w:val="17"/>
                <w:szCs w:val="17"/>
                <w:b w:val="1"/>
                <w:bCs w:val="1"/>
                <w:i w:val="1"/>
                <w:iCs w:val="1"/>
                <w:color w:val="auto"/>
              </w:rPr>
              <w:t>Why is the separation of AbbVie</w:t>
            </w: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2"/>
              </w:rPr>
              <w:t>Abbott believes that a tax-free distribution of shares in the United States of AbbVie stock to the Abbott shareholders is an</w:t>
            </w:r>
          </w:p>
        </w:tc>
      </w:tr>
      <w:tr>
        <w:trPr>
          <w:trHeight w:val="210"/>
        </w:trPr>
        <w:tc>
          <w:tcPr>
            <w:tcW w:w="2760" w:type="dxa"/>
            <w:vAlign w:val="bottom"/>
          </w:tcPr>
          <w:p>
            <w:pPr>
              <w:ind w:left="180"/>
              <w:spacing w:after="0"/>
              <w:rPr>
                <w:sz w:val="20"/>
                <w:szCs w:val="20"/>
                <w:color w:val="auto"/>
              </w:rPr>
            </w:pPr>
            <w:r>
              <w:rPr>
                <w:rFonts w:ascii="Arial" w:cs="Arial" w:eastAsia="Arial" w:hAnsi="Arial"/>
                <w:sz w:val="17"/>
                <w:szCs w:val="17"/>
                <w:b w:val="1"/>
                <w:bCs w:val="1"/>
                <w:i w:val="1"/>
                <w:iCs w:val="1"/>
                <w:color w:val="auto"/>
              </w:rPr>
              <w:t>structured as a distribution?</w:t>
            </w: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4"/>
              </w:rPr>
              <w:t>efficient way to separate its research-based pharmaceuticals business in a manner that will create long-term value for</w:t>
            </w:r>
          </w:p>
        </w:tc>
      </w:tr>
      <w:tr>
        <w:trPr>
          <w:trHeight w:val="216"/>
        </w:trPr>
        <w:tc>
          <w:tcPr>
            <w:tcW w:w="2760" w:type="dxa"/>
            <w:vAlign w:val="bottom"/>
          </w:tcPr>
          <w:p>
            <w:pPr>
              <w:spacing w:after="0"/>
              <w:rPr>
                <w:sz w:val="18"/>
                <w:szCs w:val="18"/>
                <w:color w:val="auto"/>
              </w:rPr>
            </w:pPr>
          </w:p>
        </w:tc>
        <w:tc>
          <w:tcPr>
            <w:tcW w:w="3920" w:type="dxa"/>
            <w:vAlign w:val="bottom"/>
          </w:tcPr>
          <w:p>
            <w:pPr>
              <w:ind w:left="260"/>
              <w:spacing w:after="0"/>
              <w:rPr>
                <w:sz w:val="20"/>
                <w:szCs w:val="20"/>
                <w:color w:val="auto"/>
              </w:rPr>
            </w:pPr>
            <w:r>
              <w:rPr>
                <w:rFonts w:ascii="Arial" w:cs="Arial" w:eastAsia="Arial" w:hAnsi="Arial"/>
                <w:sz w:val="17"/>
                <w:szCs w:val="17"/>
                <w:color w:val="auto"/>
                <w:w w:val="97"/>
              </w:rPr>
              <w:t>Abbott, AbbVie and their respective shareholders.</w:t>
            </w:r>
          </w:p>
        </w:tc>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13"/>
        </w:trPr>
        <w:tc>
          <w:tcPr>
            <w:tcW w:w="2760" w:type="dxa"/>
            <w:vAlign w:val="bottom"/>
          </w:tcPr>
          <w:p>
            <w:pPr>
              <w:spacing w:after="0"/>
              <w:rPr>
                <w:sz w:val="20"/>
                <w:szCs w:val="20"/>
                <w:color w:val="auto"/>
              </w:rPr>
            </w:pPr>
            <w:r>
              <w:rPr>
                <w:rFonts w:ascii="Arial" w:cs="Arial" w:eastAsia="Arial" w:hAnsi="Arial"/>
                <w:sz w:val="17"/>
                <w:szCs w:val="17"/>
                <w:b w:val="1"/>
                <w:bCs w:val="1"/>
                <w:i w:val="1"/>
                <w:iCs w:val="1"/>
                <w:color w:val="auto"/>
              </w:rPr>
              <w:t>What is the record date for the</w:t>
            </w:r>
          </w:p>
        </w:tc>
        <w:tc>
          <w:tcPr>
            <w:tcW w:w="3920" w:type="dxa"/>
            <w:vAlign w:val="bottom"/>
          </w:tcPr>
          <w:p>
            <w:pPr>
              <w:ind w:left="260"/>
              <w:spacing w:after="0"/>
              <w:rPr>
                <w:sz w:val="20"/>
                <w:szCs w:val="20"/>
                <w:color w:val="auto"/>
              </w:rPr>
            </w:pPr>
            <w:r>
              <w:rPr>
                <w:rFonts w:ascii="Arial" w:cs="Arial" w:eastAsia="Arial" w:hAnsi="Arial"/>
                <w:sz w:val="17"/>
                <w:szCs w:val="17"/>
                <w:color w:val="auto"/>
              </w:rPr>
              <w:t>The record date for the distribution will be</w:t>
            </w:r>
          </w:p>
        </w:tc>
        <w:tc>
          <w:tcPr>
            <w:tcW w:w="1080" w:type="dxa"/>
            <w:vAlign w:val="bottom"/>
          </w:tcPr>
          <w:p>
            <w:pPr>
              <w:jc w:val="right"/>
              <w:ind w:right="255"/>
              <w:spacing w:after="0"/>
              <w:rPr>
                <w:sz w:val="20"/>
                <w:szCs w:val="20"/>
                <w:color w:val="auto"/>
              </w:rPr>
            </w:pPr>
            <w:r>
              <w:rPr>
                <w:rFonts w:ascii="Arial" w:cs="Arial" w:eastAsia="Arial" w:hAnsi="Arial"/>
                <w:sz w:val="17"/>
                <w:szCs w:val="17"/>
                <w:color w:val="auto"/>
              </w:rPr>
              <w:t>, 2012.</w:t>
            </w:r>
          </w:p>
        </w:tc>
        <w:tc>
          <w:tcPr>
            <w:tcW w:w="3660" w:type="dxa"/>
            <w:vAlign w:val="bottom"/>
          </w:tcPr>
          <w:p>
            <w:pPr>
              <w:spacing w:after="0"/>
              <w:rPr>
                <w:sz w:val="24"/>
                <w:szCs w:val="24"/>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7"/>
                <w:szCs w:val="17"/>
                <w:b w:val="1"/>
                <w:bCs w:val="1"/>
                <w:i w:val="1"/>
                <w:iCs w:val="1"/>
                <w:color w:val="auto"/>
              </w:rPr>
              <w:t>distribution?</w:t>
            </w:r>
          </w:p>
        </w:tc>
        <w:tc>
          <w:tcPr>
            <w:tcW w:w="3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13"/>
        </w:trPr>
        <w:tc>
          <w:tcPr>
            <w:tcW w:w="2760" w:type="dxa"/>
            <w:vAlign w:val="bottom"/>
          </w:tcPr>
          <w:p>
            <w:pPr>
              <w:spacing w:after="0"/>
              <w:rPr>
                <w:sz w:val="20"/>
                <w:szCs w:val="20"/>
                <w:color w:val="auto"/>
              </w:rPr>
            </w:pPr>
            <w:r>
              <w:rPr>
                <w:rFonts w:ascii="Arial" w:cs="Arial" w:eastAsia="Arial" w:hAnsi="Arial"/>
                <w:sz w:val="17"/>
                <w:szCs w:val="17"/>
                <w:b w:val="1"/>
                <w:bCs w:val="1"/>
                <w:i w:val="1"/>
                <w:iCs w:val="1"/>
                <w:color w:val="auto"/>
              </w:rPr>
              <w:t>When will the distribution occur?</w:t>
            </w: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3"/>
              </w:rPr>
              <w:t>It is expected that all of the shares of AbbVie common stock will be distributed by Abbott on January 1, 2013, to holders</w:t>
            </w:r>
          </w:p>
        </w:tc>
      </w:tr>
      <w:tr>
        <w:trPr>
          <w:trHeight w:val="216"/>
        </w:trPr>
        <w:tc>
          <w:tcPr>
            <w:tcW w:w="2760" w:type="dxa"/>
            <w:vAlign w:val="bottom"/>
          </w:tcPr>
          <w:p>
            <w:pPr>
              <w:spacing w:after="0"/>
              <w:rPr>
                <w:sz w:val="18"/>
                <w:szCs w:val="18"/>
                <w:color w:val="auto"/>
              </w:rPr>
            </w:pPr>
          </w:p>
        </w:tc>
        <w:tc>
          <w:tcPr>
            <w:tcW w:w="5000" w:type="dxa"/>
            <w:vAlign w:val="bottom"/>
            <w:gridSpan w:val="2"/>
          </w:tcPr>
          <w:p>
            <w:pPr>
              <w:ind w:left="260"/>
              <w:spacing w:after="0"/>
              <w:rPr>
                <w:sz w:val="20"/>
                <w:szCs w:val="20"/>
                <w:color w:val="auto"/>
              </w:rPr>
            </w:pPr>
            <w:r>
              <w:rPr>
                <w:rFonts w:ascii="Arial" w:cs="Arial" w:eastAsia="Arial" w:hAnsi="Arial"/>
                <w:sz w:val="17"/>
                <w:szCs w:val="17"/>
                <w:color w:val="auto"/>
              </w:rPr>
              <w:t>of record of Abbott common shares at the close of business on</w:t>
            </w:r>
          </w:p>
        </w:tc>
        <w:tc>
          <w:tcPr>
            <w:tcW w:w="3660" w:type="dxa"/>
            <w:vAlign w:val="bottom"/>
          </w:tcPr>
          <w:p>
            <w:pPr>
              <w:ind w:left="360"/>
              <w:spacing w:after="0"/>
              <w:rPr>
                <w:sz w:val="20"/>
                <w:szCs w:val="20"/>
                <w:color w:val="auto"/>
              </w:rPr>
            </w:pPr>
            <w:r>
              <w:rPr>
                <w:rFonts w:ascii="Arial" w:cs="Arial" w:eastAsia="Arial" w:hAnsi="Arial"/>
                <w:sz w:val="17"/>
                <w:szCs w:val="17"/>
                <w:color w:val="auto"/>
              </w:rPr>
              <w:t>, 2012, the record date.</w:t>
            </w:r>
          </w:p>
        </w:tc>
      </w:tr>
      <w:tr>
        <w:trPr>
          <w:trHeight w:val="409"/>
        </w:trPr>
        <w:tc>
          <w:tcPr>
            <w:tcW w:w="2760" w:type="dxa"/>
            <w:vAlign w:val="bottom"/>
          </w:tcPr>
          <w:p>
            <w:pPr>
              <w:spacing w:after="0"/>
              <w:rPr>
                <w:sz w:val="20"/>
                <w:szCs w:val="20"/>
                <w:color w:val="auto"/>
              </w:rPr>
            </w:pPr>
            <w:r>
              <w:rPr>
                <w:rFonts w:ascii="Arial" w:cs="Arial" w:eastAsia="Arial" w:hAnsi="Arial"/>
                <w:sz w:val="17"/>
                <w:szCs w:val="17"/>
                <w:b w:val="1"/>
                <w:bCs w:val="1"/>
                <w:i w:val="1"/>
                <w:iCs w:val="1"/>
                <w:color w:val="auto"/>
                <w:w w:val="94"/>
              </w:rPr>
              <w:t>What do shareholders need to do to</w:t>
            </w:r>
          </w:p>
        </w:tc>
        <w:tc>
          <w:tcPr>
            <w:tcW w:w="8660" w:type="dxa"/>
            <w:vAlign w:val="bottom"/>
            <w:gridSpan w:val="3"/>
          </w:tcPr>
          <w:p>
            <w:pPr>
              <w:ind w:left="260"/>
              <w:spacing w:after="0"/>
              <w:rPr>
                <w:sz w:val="20"/>
                <w:szCs w:val="20"/>
                <w:color w:val="auto"/>
              </w:rPr>
            </w:pPr>
            <w:r>
              <w:rPr>
                <w:rFonts w:ascii="Arial" w:cs="Arial" w:eastAsia="Arial" w:hAnsi="Arial"/>
                <w:sz w:val="17"/>
                <w:szCs w:val="17"/>
                <w:b w:val="1"/>
                <w:bCs w:val="1"/>
                <w:color w:val="auto"/>
                <w:w w:val="93"/>
              </w:rPr>
              <w:t>Shareholders of Abbott as of the record date will not be required to take any action to receive AbbVie common</w:t>
            </w:r>
          </w:p>
        </w:tc>
      </w:tr>
      <w:tr>
        <w:trPr>
          <w:trHeight w:val="210"/>
        </w:trPr>
        <w:tc>
          <w:tcPr>
            <w:tcW w:w="2760" w:type="dxa"/>
            <w:vAlign w:val="bottom"/>
          </w:tcPr>
          <w:p>
            <w:pPr>
              <w:ind w:left="180"/>
              <w:spacing w:after="0"/>
              <w:rPr>
                <w:sz w:val="20"/>
                <w:szCs w:val="20"/>
                <w:color w:val="auto"/>
              </w:rPr>
            </w:pPr>
            <w:r>
              <w:rPr>
                <w:rFonts w:ascii="Arial" w:cs="Arial" w:eastAsia="Arial" w:hAnsi="Arial"/>
                <w:sz w:val="17"/>
                <w:szCs w:val="17"/>
                <w:b w:val="1"/>
                <w:bCs w:val="1"/>
                <w:i w:val="1"/>
                <w:iCs w:val="1"/>
                <w:color w:val="auto"/>
              </w:rPr>
              <w:t>participate in the distribution?</w:t>
            </w:r>
          </w:p>
        </w:tc>
        <w:tc>
          <w:tcPr>
            <w:tcW w:w="8660" w:type="dxa"/>
            <w:vAlign w:val="bottom"/>
            <w:gridSpan w:val="3"/>
          </w:tcPr>
          <w:p>
            <w:pPr>
              <w:ind w:left="260"/>
              <w:spacing w:after="0"/>
              <w:rPr>
                <w:sz w:val="20"/>
                <w:szCs w:val="20"/>
                <w:color w:val="auto"/>
              </w:rPr>
            </w:pPr>
            <w:r>
              <w:rPr>
                <w:rFonts w:ascii="Arial" w:cs="Arial" w:eastAsia="Arial" w:hAnsi="Arial"/>
                <w:sz w:val="17"/>
                <w:szCs w:val="17"/>
                <w:b w:val="1"/>
                <w:bCs w:val="1"/>
                <w:color w:val="auto"/>
                <w:w w:val="95"/>
              </w:rPr>
              <w:t xml:space="preserve">stock in the distribution, but you are urged to read this entire information statement carefully. </w:t>
            </w:r>
            <w:r>
              <w:rPr>
                <w:rFonts w:ascii="Arial" w:cs="Arial" w:eastAsia="Arial" w:hAnsi="Arial"/>
                <w:sz w:val="17"/>
                <w:szCs w:val="17"/>
                <w:color w:val="auto"/>
                <w:w w:val="95"/>
              </w:rPr>
              <w:t>No shareholder</w:t>
            </w:r>
          </w:p>
        </w:tc>
      </w:tr>
      <w:tr>
        <w:trPr>
          <w:trHeight w:val="214"/>
        </w:trPr>
        <w:tc>
          <w:tcPr>
            <w:tcW w:w="2760" w:type="dxa"/>
            <w:vAlign w:val="bottom"/>
          </w:tcPr>
          <w:p>
            <w:pPr>
              <w:spacing w:after="0"/>
              <w:rPr>
                <w:sz w:val="18"/>
                <w:szCs w:val="18"/>
                <w:color w:val="auto"/>
              </w:rPr>
            </w:pP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2"/>
              </w:rPr>
              <w:t xml:space="preserve">approval of the distribution is required. </w:t>
            </w:r>
            <w:r>
              <w:rPr>
                <w:rFonts w:ascii="Arial" w:cs="Arial" w:eastAsia="Arial" w:hAnsi="Arial"/>
                <w:sz w:val="17"/>
                <w:szCs w:val="17"/>
                <w:b w:val="1"/>
                <w:bCs w:val="1"/>
                <w:color w:val="auto"/>
                <w:w w:val="92"/>
              </w:rPr>
              <w:t>You are not being asked for a proxy.</w:t>
            </w:r>
            <w:r>
              <w:rPr>
                <w:rFonts w:ascii="Arial" w:cs="Arial" w:eastAsia="Arial" w:hAnsi="Arial"/>
                <w:sz w:val="17"/>
                <w:szCs w:val="17"/>
                <w:color w:val="auto"/>
                <w:w w:val="92"/>
              </w:rPr>
              <w:t xml:space="preserve"> You do not need to pay any consideration,</w:t>
            </w:r>
          </w:p>
        </w:tc>
      </w:tr>
      <w:tr>
        <w:trPr>
          <w:trHeight w:val="206"/>
        </w:trPr>
        <w:tc>
          <w:tcPr>
            <w:tcW w:w="2760" w:type="dxa"/>
            <w:vAlign w:val="bottom"/>
          </w:tcPr>
          <w:p>
            <w:pPr>
              <w:spacing w:after="0"/>
              <w:rPr>
                <w:sz w:val="17"/>
                <w:szCs w:val="17"/>
                <w:color w:val="auto"/>
              </w:rPr>
            </w:pP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4"/>
              </w:rPr>
              <w:t>exchange or surrender your existing Abbott common shares or take any other action to receive your shares of AbbVie</w:t>
            </w:r>
          </w:p>
        </w:tc>
      </w:tr>
      <w:tr>
        <w:trPr>
          <w:trHeight w:val="214"/>
        </w:trPr>
        <w:tc>
          <w:tcPr>
            <w:tcW w:w="2760" w:type="dxa"/>
            <w:vAlign w:val="bottom"/>
          </w:tcPr>
          <w:p>
            <w:pPr>
              <w:spacing w:after="0"/>
              <w:rPr>
                <w:sz w:val="18"/>
                <w:szCs w:val="18"/>
                <w:color w:val="auto"/>
              </w:rPr>
            </w:pP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5"/>
              </w:rPr>
              <w:t xml:space="preserve">common stock. </w:t>
            </w:r>
            <w:r>
              <w:rPr>
                <w:rFonts w:ascii="Arial" w:cs="Arial" w:eastAsia="Arial" w:hAnsi="Arial"/>
                <w:sz w:val="17"/>
                <w:szCs w:val="17"/>
                <w:b w:val="1"/>
                <w:bCs w:val="1"/>
                <w:color w:val="auto"/>
                <w:w w:val="95"/>
              </w:rPr>
              <w:t>Please do not send in your Abbott stock certificates.</w:t>
            </w:r>
            <w:r>
              <w:rPr>
                <w:rFonts w:ascii="Arial" w:cs="Arial" w:eastAsia="Arial" w:hAnsi="Arial"/>
                <w:sz w:val="17"/>
                <w:szCs w:val="17"/>
                <w:color w:val="auto"/>
                <w:w w:val="95"/>
              </w:rPr>
              <w:t xml:space="preserve"> The distribution will not affect the number of</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260"/>
              <w:spacing w:after="0"/>
              <w:rPr>
                <w:sz w:val="20"/>
                <w:szCs w:val="20"/>
                <w:color w:val="auto"/>
              </w:rPr>
            </w:pPr>
            <w:r>
              <w:rPr>
                <w:rFonts w:ascii="Arial" w:cs="Arial" w:eastAsia="Arial" w:hAnsi="Arial"/>
                <w:sz w:val="17"/>
                <w:szCs w:val="17"/>
                <w:color w:val="auto"/>
                <w:w w:val="91"/>
              </w:rPr>
              <w:t>outstanding Abbott shares or any rights of Abbott shareholders, although it will affect the market value of each outstanding</w:t>
            </w:r>
          </w:p>
        </w:tc>
      </w:tr>
      <w:tr>
        <w:trPr>
          <w:trHeight w:val="216"/>
        </w:trPr>
        <w:tc>
          <w:tcPr>
            <w:tcW w:w="2760" w:type="dxa"/>
            <w:vAlign w:val="bottom"/>
          </w:tcPr>
          <w:p>
            <w:pPr>
              <w:spacing w:after="0"/>
              <w:rPr>
                <w:sz w:val="18"/>
                <w:szCs w:val="18"/>
                <w:color w:val="auto"/>
              </w:rPr>
            </w:pPr>
          </w:p>
        </w:tc>
        <w:tc>
          <w:tcPr>
            <w:tcW w:w="3920" w:type="dxa"/>
            <w:vAlign w:val="bottom"/>
          </w:tcPr>
          <w:p>
            <w:pPr>
              <w:ind w:left="260"/>
              <w:spacing w:after="0"/>
              <w:rPr>
                <w:sz w:val="20"/>
                <w:szCs w:val="20"/>
                <w:color w:val="auto"/>
              </w:rPr>
            </w:pPr>
            <w:r>
              <w:rPr>
                <w:rFonts w:ascii="Arial" w:cs="Arial" w:eastAsia="Arial" w:hAnsi="Arial"/>
                <w:sz w:val="17"/>
                <w:szCs w:val="17"/>
                <w:color w:val="auto"/>
              </w:rPr>
              <w:t>Abbott common share.</w:t>
            </w:r>
          </w:p>
        </w:tc>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19"/>
        </w:trPr>
        <w:tc>
          <w:tcPr>
            <w:tcW w:w="2760" w:type="dxa"/>
            <w:vAlign w:val="bottom"/>
          </w:tcPr>
          <w:p>
            <w:pPr>
              <w:spacing w:after="0"/>
              <w:rPr>
                <w:sz w:val="24"/>
                <w:szCs w:val="24"/>
                <w:color w:val="auto"/>
              </w:rPr>
            </w:pPr>
          </w:p>
        </w:tc>
        <w:tc>
          <w:tcPr>
            <w:tcW w:w="3920" w:type="dxa"/>
            <w:vAlign w:val="bottom"/>
          </w:tcPr>
          <w:p>
            <w:pPr>
              <w:ind w:left="2920"/>
              <w:spacing w:after="0"/>
              <w:rPr>
                <w:sz w:val="20"/>
                <w:szCs w:val="20"/>
                <w:color w:val="auto"/>
              </w:rPr>
            </w:pPr>
            <w:r>
              <w:rPr>
                <w:rFonts w:ascii="Arial" w:cs="Arial" w:eastAsia="Arial" w:hAnsi="Arial"/>
                <w:sz w:val="17"/>
                <w:szCs w:val="17"/>
                <w:color w:val="auto"/>
              </w:rPr>
              <w:t>1</w:t>
            </w:r>
          </w:p>
        </w:tc>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2"/>
        </w:trPr>
        <w:tc>
          <w:tcPr>
            <w:tcW w:w="27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5" w:name="page76"/>
    <w:bookmarkEnd w:id="7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You can request a certificate for all or a portion of your shares of AbbVie common stock by contacting Computershare</w:t>
      </w:r>
    </w:p>
    <w:p>
      <w:pPr>
        <w:spacing w:after="0" w:line="43" w:lineRule="exact"/>
        <w:rPr>
          <w:sz w:val="20"/>
          <w:szCs w:val="20"/>
          <w:color w:val="auto"/>
        </w:rPr>
      </w:pPr>
    </w:p>
    <w:p>
      <w:pPr>
        <w:jc w:val="right"/>
        <w:ind w:right="120"/>
        <w:spacing w:after="0"/>
        <w:tabs>
          <w:tab w:leader="none" w:pos="4920" w:val="left"/>
          <w:tab w:leader="none" w:pos="2460" w:val="left"/>
        </w:tabs>
        <w:rPr>
          <w:sz w:val="20"/>
          <w:szCs w:val="20"/>
          <w:color w:val="auto"/>
        </w:rPr>
      </w:pPr>
      <w:r>
        <w:rPr>
          <w:rFonts w:ascii="Arial" w:cs="Arial" w:eastAsia="Arial" w:hAnsi="Arial"/>
          <w:sz w:val="17"/>
          <w:szCs w:val="17"/>
          <w:color w:val="auto"/>
        </w:rPr>
        <w:t>Trust Company, N.A. by telephone at</w:t>
      </w:r>
      <w:r>
        <w:rPr>
          <w:sz w:val="20"/>
          <w:szCs w:val="20"/>
          <w:color w:val="auto"/>
        </w:rPr>
        <w:tab/>
      </w:r>
      <w:r>
        <w:rPr>
          <w:rFonts w:ascii="Arial" w:cs="Arial" w:eastAsia="Arial" w:hAnsi="Arial"/>
          <w:sz w:val="17"/>
          <w:szCs w:val="17"/>
          <w:color w:val="auto"/>
        </w:rPr>
        <w:t>, on the Internet at www.</w:t>
      </w:r>
      <w:r>
        <w:rPr>
          <w:sz w:val="20"/>
          <w:szCs w:val="20"/>
          <w:color w:val="auto"/>
        </w:rPr>
        <w:tab/>
      </w:r>
      <w:r>
        <w:rPr>
          <w:rFonts w:ascii="Arial" w:cs="Arial" w:eastAsia="Arial" w:hAnsi="Arial"/>
          <w:sz w:val="15"/>
          <w:szCs w:val="15"/>
          <w:color w:val="auto"/>
        </w:rPr>
        <w:t>.com or by sending a written request</w:t>
      </w:r>
    </w:p>
    <w:p>
      <w:pPr>
        <w:spacing w:after="0" w:line="14" w:lineRule="exact"/>
        <w:rPr>
          <w:sz w:val="20"/>
          <w:szCs w:val="20"/>
          <w:color w:val="auto"/>
        </w:rPr>
      </w:pPr>
    </w:p>
    <w:p>
      <w:pPr>
        <w:ind w:left="3020"/>
        <w:spacing w:after="0"/>
        <w:tabs>
          <w:tab w:leader="none" w:pos="3900" w:val="left"/>
          <w:tab w:leader="none" w:pos="47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80" w:right="340" w:hanging="174"/>
        <w:spacing w:after="0" w:line="282" w:lineRule="auto"/>
        <w:rPr>
          <w:sz w:val="20"/>
          <w:szCs w:val="20"/>
          <w:color w:val="auto"/>
        </w:rPr>
      </w:pPr>
      <w:r>
        <w:rPr>
          <w:rFonts w:ascii="Arial" w:cs="Arial" w:eastAsia="Arial" w:hAnsi="Arial"/>
          <w:sz w:val="17"/>
          <w:szCs w:val="17"/>
          <w:b w:val="1"/>
          <w:bCs w:val="1"/>
          <w:i w:val="1"/>
          <w:iCs w:val="1"/>
          <w:color w:val="auto"/>
        </w:rPr>
        <w:t>How will shares of AbbVie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220" w:hanging="174"/>
        <w:spacing w:after="0" w:line="270" w:lineRule="auto"/>
        <w:rPr>
          <w:sz w:val="20"/>
          <w:szCs w:val="20"/>
          <w:color w:val="auto"/>
        </w:rPr>
      </w:pPr>
      <w:r>
        <w:rPr>
          <w:rFonts w:ascii="Arial" w:cs="Arial" w:eastAsia="Arial" w:hAnsi="Arial"/>
          <w:sz w:val="17"/>
          <w:szCs w:val="17"/>
          <w:b w:val="1"/>
          <w:bCs w:val="1"/>
          <w:i w:val="1"/>
          <w:iCs w:val="1"/>
          <w:color w:val="auto"/>
        </w:rPr>
        <w:t>How many shares of AbbVie common stock will I receive in the distribution?</w:t>
      </w:r>
    </w:p>
    <w:p>
      <w:pPr>
        <w:spacing w:after="0" w:line="389" w:lineRule="exact"/>
        <w:rPr>
          <w:sz w:val="20"/>
          <w:szCs w:val="20"/>
          <w:color w:val="auto"/>
        </w:rPr>
      </w:pPr>
    </w:p>
    <w:p>
      <w:pPr>
        <w:ind w:left="180" w:hanging="174"/>
        <w:spacing w:after="0" w:line="352" w:lineRule="auto"/>
        <w:rPr>
          <w:sz w:val="20"/>
          <w:szCs w:val="20"/>
          <w:color w:val="auto"/>
        </w:rPr>
      </w:pPr>
      <w:r>
        <w:rPr>
          <w:rFonts w:ascii="Arial" w:cs="Arial" w:eastAsia="Arial" w:hAnsi="Arial"/>
          <w:sz w:val="15"/>
          <w:szCs w:val="15"/>
          <w:b w:val="1"/>
          <w:bCs w:val="1"/>
          <w:i w:val="1"/>
          <w:iCs w:val="1"/>
          <w:color w:val="auto"/>
        </w:rPr>
        <w:t>Will AbbVie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You will receive shares of AbbVie common stock through the same channels that you currently use to hold or trade Abbott common shares, whether through a brokerage account, 401(k) plan or other channel. Receipt of AbbVie shares will be documented for you in the same manner that you typically receive shareholder updates, such as monthly broker statements and 401(k) statements.</w:t>
      </w:r>
    </w:p>
    <w:p>
      <w:pPr>
        <w:spacing w:after="0" w:line="18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If you own Abbott common shares as of the close of business on the record date, including shares owned in certificate form or through the Abbott Laboratories dividend reinvestment plan, Abbott, with the assistance of Computershare Trust Company, N.A., the settlement and distribution agent, will electronically distribute shares of AbbVie common stock to you or to your brokerage firm on your behalf by way of direct registration in book-entry form. Computershare Trust Company, N.A. will mail you a book-entry account statement that reflects your shares of AbbVie common stock, or your bank or brokerage firm will credit your account for the shares. Following the distribution, shareholders whose shares are held in book-entry form may request the delivery of physical stock certificates for their shares or that their shares of AbbVie common stock held in book-entry form be transferred to a brokerage or other account at any time, without charge.</w:t>
      </w:r>
    </w:p>
    <w:p>
      <w:pPr>
        <w:spacing w:after="0" w:line="163"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Abbott will distribute to you</w:t>
      </w:r>
      <w:r>
        <w:rPr>
          <w:sz w:val="20"/>
          <w:szCs w:val="20"/>
          <w:color w:val="auto"/>
        </w:rPr>
        <w:tab/>
      </w:r>
      <w:r>
        <w:rPr>
          <w:rFonts w:ascii="Arial" w:cs="Arial" w:eastAsia="Arial" w:hAnsi="Arial"/>
          <w:sz w:val="15"/>
          <w:szCs w:val="15"/>
          <w:color w:val="auto"/>
        </w:rPr>
        <w:t>share[s] of AbbVie common stock for each common share of Abbott held by you as of</w:t>
      </w:r>
    </w:p>
    <w:p>
      <w:pPr>
        <w:spacing w:after="0" w:line="20" w:lineRule="exact"/>
        <w:rPr>
          <w:sz w:val="20"/>
          <w:szCs w:val="20"/>
          <w:color w:val="auto"/>
        </w:rPr>
      </w:pPr>
    </w:p>
    <w:p>
      <w:pPr>
        <w:spacing w:after="0"/>
        <w:tabs>
          <w:tab w:leader="none" w:pos="3120" w:val="left"/>
          <w:tab w:leader="none" w:pos="6740" w:val="left"/>
        </w:tabs>
        <w:rPr>
          <w:sz w:val="20"/>
          <w:szCs w:val="20"/>
          <w:color w:val="auto"/>
        </w:rPr>
      </w:pPr>
      <w:r>
        <w:rPr>
          <w:rFonts w:ascii="Arial" w:cs="Arial" w:eastAsia="Arial" w:hAnsi="Arial"/>
          <w:sz w:val="17"/>
          <w:szCs w:val="17"/>
          <w:color w:val="auto"/>
        </w:rPr>
        <w:t>the record date. Based on approximately</w:t>
      </w:r>
      <w:r>
        <w:rPr>
          <w:sz w:val="20"/>
          <w:szCs w:val="20"/>
          <w:color w:val="auto"/>
        </w:rPr>
        <w:tab/>
      </w:r>
      <w:r>
        <w:rPr>
          <w:rFonts w:ascii="Arial" w:cs="Arial" w:eastAsia="Arial" w:hAnsi="Arial"/>
          <w:sz w:val="17"/>
          <w:szCs w:val="17"/>
          <w:color w:val="auto"/>
        </w:rPr>
        <w:t>billion Abbott common shares outstanding as of</w:t>
      </w:r>
      <w:r>
        <w:rPr>
          <w:sz w:val="20"/>
          <w:szCs w:val="20"/>
          <w:color w:val="auto"/>
        </w:rPr>
        <w:tab/>
      </w:r>
      <w:r>
        <w:rPr>
          <w:rFonts w:ascii="Arial" w:cs="Arial" w:eastAsia="Arial" w:hAnsi="Arial"/>
          <w:sz w:val="15"/>
          <w:szCs w:val="15"/>
          <w:color w:val="auto"/>
        </w:rPr>
        <w:t>, a total of</w:t>
      </w:r>
    </w:p>
    <w:p>
      <w:pPr>
        <w:spacing w:after="0" w:line="1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billion shares of AbbVie common stock will be distributed. For additional information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distribution, see "The Separation and Distribution."</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No. AbbVie will not issue fractional shares of its common stock in the distribution. Fractional shares that Abbott shareholders would otherwise have been entitled to receive will be aggregated and sold in the public market by the distribution agent. The aggregate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of payment made in lieu of fractional shares.</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60" w:space="160"/>
            <w:col w:w="8380"/>
          </w:cols>
          <w:pgMar w:left="240" w:top="131" w:right="25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180" w:hanging="174"/>
        <w:spacing w:after="0" w:line="282" w:lineRule="auto"/>
        <w:rPr>
          <w:sz w:val="20"/>
          <w:szCs w:val="20"/>
          <w:color w:val="auto"/>
        </w:rPr>
      </w:pPr>
      <w:r>
        <w:rPr>
          <w:rFonts w:ascii="Arial" w:cs="Arial" w:eastAsia="Arial" w:hAnsi="Arial"/>
          <w:sz w:val="17"/>
          <w:szCs w:val="17"/>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distribution is subject to a number of conditions, including, among others:</w:t>
      </w:r>
    </w:p>
    <w:p>
      <w:pPr>
        <w:spacing w:after="0" w:line="250" w:lineRule="exact"/>
        <w:rPr>
          <w:sz w:val="20"/>
          <w:szCs w:val="20"/>
          <w:color w:val="auto"/>
        </w:rPr>
      </w:pPr>
    </w:p>
    <w:p>
      <w:pPr>
        <w:ind w:left="180" w:right="40" w:hanging="180"/>
        <w:spacing w:after="0" w:line="244" w:lineRule="auto"/>
        <w:tabs>
          <w:tab w:leader="none" w:pos="180" w:val="left"/>
        </w:tabs>
        <w:numPr>
          <w:ilvl w:val="0"/>
          <w:numId w:val="194"/>
        </w:numPr>
        <w:rPr>
          <w:rFonts w:ascii="Arial" w:cs="Arial" w:eastAsia="Arial" w:hAnsi="Arial"/>
          <w:sz w:val="21"/>
          <w:szCs w:val="21"/>
          <w:color w:val="auto"/>
        </w:rPr>
      </w:pPr>
      <w:r>
        <w:rPr>
          <w:rFonts w:ascii="Arial" w:cs="Arial" w:eastAsia="Arial" w:hAnsi="Arial"/>
          <w:sz w:val="17"/>
          <w:szCs w:val="17"/>
          <w:color w:val="auto"/>
        </w:rPr>
        <w:t>the making of a cash distribution of approximately $13.2 billion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3" w:lineRule="exact"/>
        <w:rPr>
          <w:rFonts w:ascii="Arial" w:cs="Arial" w:eastAsia="Arial" w:hAnsi="Arial"/>
          <w:sz w:val="21"/>
          <w:szCs w:val="21"/>
          <w:color w:val="auto"/>
        </w:rPr>
      </w:pPr>
    </w:p>
    <w:p>
      <w:pPr>
        <w:ind w:left="180" w:hanging="180"/>
        <w:spacing w:after="0" w:line="249" w:lineRule="auto"/>
        <w:tabs>
          <w:tab w:leader="none" w:pos="180" w:val="left"/>
        </w:tabs>
        <w:numPr>
          <w:ilvl w:val="0"/>
          <w:numId w:val="194"/>
        </w:numPr>
        <w:rPr>
          <w:rFonts w:ascii="Arial" w:cs="Arial" w:eastAsia="Arial" w:hAnsi="Arial"/>
          <w:sz w:val="21"/>
          <w:szCs w:val="21"/>
          <w:color w:val="auto"/>
        </w:rPr>
      </w:pPr>
      <w:r>
        <w:rPr>
          <w:rFonts w:ascii="Arial" w:cs="Arial" w:eastAsia="Arial" w:hAnsi="Arial"/>
          <w:sz w:val="17"/>
          <w:szCs w:val="17"/>
          <w:color w:val="auto"/>
        </w:rPr>
        <w:t>the receipt of a private letter ruling from the Internal Revenue Service (IRS) to the effect that, among other things, the distribution will qualify as a transaction that is tax-free for U.S. federal income tax purposes under Sections 355 and 368(a)(1)(D) of the Internal Revenue Code of 1986, as amended (the Code), and certain transactions related to the transfer of assets and liabilities to AbbVie in connection with the separation will not result in the recognition of any gain or loss to Abbott, AbbVie or their shareholders, and such private letter ruling shall not have been revoked or modified in any material respect;</w:t>
      </w:r>
    </w:p>
    <w:p>
      <w:pPr>
        <w:spacing w:after="0" w:line="20" w:lineRule="exact"/>
        <w:rPr>
          <w:rFonts w:ascii="Arial" w:cs="Arial" w:eastAsia="Arial" w:hAnsi="Arial"/>
          <w:sz w:val="21"/>
          <w:szCs w:val="21"/>
          <w:color w:val="auto"/>
        </w:rPr>
      </w:pPr>
    </w:p>
    <w:p>
      <w:pPr>
        <w:ind w:left="180" w:right="260" w:hanging="180"/>
        <w:spacing w:after="0" w:line="233" w:lineRule="auto"/>
        <w:tabs>
          <w:tab w:leader="none" w:pos="180" w:val="left"/>
        </w:tabs>
        <w:numPr>
          <w:ilvl w:val="0"/>
          <w:numId w:val="194"/>
        </w:numPr>
        <w:rPr>
          <w:rFonts w:ascii="Arial" w:cs="Arial" w:eastAsia="Arial" w:hAnsi="Arial"/>
          <w:sz w:val="21"/>
          <w:szCs w:val="21"/>
          <w:color w:val="auto"/>
        </w:rPr>
      </w:pPr>
      <w:r>
        <w:rPr>
          <w:rFonts w:ascii="Arial" w:cs="Arial" w:eastAsia="Arial" w:hAnsi="Arial"/>
          <w:sz w:val="17"/>
          <w:szCs w:val="17"/>
          <w:color w:val="auto"/>
        </w:rPr>
        <w:t>the receipt of an opinion from tax counsel to Abbott to the effect that the separation and distribution will qualify as a transaction that is described in Sections 355(a) and 368(a)(1)(D) of the Code;</w:t>
      </w:r>
    </w:p>
    <w:p>
      <w:pPr>
        <w:ind w:left="180" w:right="80" w:hanging="174"/>
        <w:spacing w:after="0" w:line="268"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receipt of an opinion from</w:t>
      </w:r>
      <w:r>
        <w:rPr>
          <w:sz w:val="20"/>
          <w:szCs w:val="20"/>
          <w:color w:val="auto"/>
        </w:rPr>
        <w:t xml:space="preserve"> </w:t>
      </w:r>
      <w:r>
        <w:rPr>
          <w:rFonts w:ascii="Arial" w:cs="Arial" w:eastAsia="Arial" w:hAnsi="Arial"/>
          <w:sz w:val="17"/>
          <w:szCs w:val="17"/>
          <w:color w:val="auto"/>
        </w:rPr>
        <w:t>or another independent appraisal firm to the board of directors of Abbott confirming the solvency and financial viability of Abbott before the distribution and each of Abbott and AbbVie after the distribution that is in form and substance acceptable to Abbott in its sole discretion;</w:t>
      </w:r>
    </w:p>
    <w:p>
      <w:pPr>
        <w:spacing w:after="0" w:line="22" w:lineRule="exact"/>
        <w:rPr>
          <w:sz w:val="20"/>
          <w:szCs w:val="20"/>
          <w:color w:val="auto"/>
        </w:rPr>
      </w:pPr>
    </w:p>
    <w:p>
      <w:pPr>
        <w:ind w:left="180" w:right="560" w:hanging="180"/>
        <w:spacing w:after="0" w:line="246" w:lineRule="auto"/>
        <w:tabs>
          <w:tab w:leader="none" w:pos="180" w:val="left"/>
        </w:tabs>
        <w:numPr>
          <w:ilvl w:val="0"/>
          <w:numId w:val="195"/>
        </w:numPr>
        <w:rPr>
          <w:rFonts w:ascii="Arial" w:cs="Arial" w:eastAsia="Arial" w:hAnsi="Arial"/>
          <w:sz w:val="20"/>
          <w:szCs w:val="20"/>
          <w:color w:val="auto"/>
        </w:rPr>
      </w:pPr>
      <w:r>
        <w:rPr>
          <w:rFonts w:ascii="Arial" w:cs="Arial" w:eastAsia="Arial" w:hAnsi="Arial"/>
          <w:sz w:val="16"/>
          <w:szCs w:val="16"/>
          <w:color w:val="auto"/>
        </w:rPr>
        <w:t>the U.S. Securities and Exchange Commission (SEC) declaring effective the registration statement of which this information statement forms a part, and the mailing of the information statement to Abbott shareholders;</w:t>
      </w:r>
    </w:p>
    <w:p>
      <w:pPr>
        <w:spacing w:after="0" w:line="21" w:lineRule="exact"/>
        <w:rPr>
          <w:rFonts w:ascii="Arial" w:cs="Arial" w:eastAsia="Arial" w:hAnsi="Arial"/>
          <w:sz w:val="20"/>
          <w:szCs w:val="20"/>
          <w:color w:val="auto"/>
        </w:rPr>
      </w:pPr>
    </w:p>
    <w:p>
      <w:pPr>
        <w:ind w:left="180" w:right="500" w:hanging="180"/>
        <w:spacing w:after="0" w:line="261" w:lineRule="auto"/>
        <w:tabs>
          <w:tab w:leader="none" w:pos="180" w:val="left"/>
        </w:tabs>
        <w:numPr>
          <w:ilvl w:val="0"/>
          <w:numId w:val="195"/>
        </w:numPr>
        <w:rPr>
          <w:rFonts w:ascii="Arial" w:cs="Arial" w:eastAsia="Arial" w:hAnsi="Arial"/>
          <w:sz w:val="19"/>
          <w:szCs w:val="19"/>
          <w:color w:val="auto"/>
        </w:rPr>
      </w:pPr>
      <w:r>
        <w:rPr>
          <w:rFonts w:ascii="Arial" w:cs="Arial" w:eastAsia="Arial" w:hAnsi="Arial"/>
          <w:sz w:val="15"/>
          <w:szCs w:val="15"/>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20" w:lineRule="exact"/>
        <w:rPr>
          <w:rFonts w:ascii="Arial" w:cs="Arial" w:eastAsia="Arial" w:hAnsi="Arial"/>
          <w:sz w:val="19"/>
          <w:szCs w:val="19"/>
          <w:color w:val="auto"/>
        </w:rPr>
      </w:pPr>
    </w:p>
    <w:p>
      <w:pPr>
        <w:ind w:left="180" w:right="440" w:hanging="180"/>
        <w:spacing w:after="0" w:line="233" w:lineRule="auto"/>
        <w:tabs>
          <w:tab w:leader="none" w:pos="180" w:val="left"/>
        </w:tabs>
        <w:numPr>
          <w:ilvl w:val="0"/>
          <w:numId w:val="195"/>
        </w:numPr>
        <w:rPr>
          <w:rFonts w:ascii="Arial" w:cs="Arial" w:eastAsia="Arial" w:hAnsi="Arial"/>
          <w:sz w:val="21"/>
          <w:szCs w:val="21"/>
          <w:color w:val="auto"/>
        </w:rPr>
      </w:pPr>
      <w:r>
        <w:rPr>
          <w:rFonts w:ascii="Arial" w:cs="Arial" w:eastAsia="Arial" w:hAnsi="Arial"/>
          <w:sz w:val="17"/>
          <w:szCs w:val="17"/>
          <w:color w:val="auto"/>
        </w:rPr>
        <w:t>the shares of AbbVie common stock to be distributed shall have been accepted for listing on the NYSE, subject to official notice of distribution; and</w:t>
      </w:r>
    </w:p>
    <w:p>
      <w:pPr>
        <w:spacing w:after="0" w:line="21" w:lineRule="exact"/>
        <w:rPr>
          <w:rFonts w:ascii="Arial" w:cs="Arial" w:eastAsia="Arial" w:hAnsi="Arial"/>
          <w:sz w:val="21"/>
          <w:szCs w:val="21"/>
          <w:color w:val="auto"/>
        </w:rPr>
      </w:pPr>
    </w:p>
    <w:p>
      <w:pPr>
        <w:ind w:left="180" w:right="280" w:hanging="180"/>
        <w:spacing w:after="0" w:line="246" w:lineRule="auto"/>
        <w:tabs>
          <w:tab w:leader="none" w:pos="180" w:val="left"/>
        </w:tabs>
        <w:numPr>
          <w:ilvl w:val="0"/>
          <w:numId w:val="195"/>
        </w:numPr>
        <w:rPr>
          <w:rFonts w:ascii="Arial" w:cs="Arial" w:eastAsia="Arial" w:hAnsi="Arial"/>
          <w:sz w:val="20"/>
          <w:szCs w:val="20"/>
          <w:color w:val="auto"/>
        </w:rPr>
      </w:pPr>
      <w:r>
        <w:rPr>
          <w:rFonts w:ascii="Arial" w:cs="Arial" w:eastAsia="Arial" w:hAnsi="Arial"/>
          <w:sz w:val="16"/>
          <w:szCs w:val="16"/>
          <w:color w:val="auto"/>
        </w:rPr>
        <w:t>no other event or development existing or having occurred that, in the judgment of Abbott's board of directors, in its sole discretion, makes it inadvisable to effect the separation, distribution and other related transactions.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Abbott and AbbVie cannot assure you that any or all of these conditions will be met. In addition, Abbott can decline at any time to go forward with the separation. For a complete discussion of all of the conditions to the distribution, see "The Separation and Distribution—Conditions to the Distribution."</w:t>
      </w:r>
    </w:p>
    <w:p>
      <w:pPr>
        <w:spacing w:after="0" w:line="39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300" w:space="720"/>
            <w:col w:w="8380"/>
          </w:cols>
          <w:pgMar w:left="240" w:top="131"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60" w:hanging="174"/>
        <w:spacing w:after="0" w:line="282" w:lineRule="auto"/>
        <w:rPr>
          <w:sz w:val="20"/>
          <w:szCs w:val="20"/>
          <w:color w:val="auto"/>
        </w:rPr>
      </w:pPr>
      <w:r>
        <w:rPr>
          <w:rFonts w:ascii="Arial" w:cs="Arial" w:eastAsia="Arial" w:hAnsi="Arial"/>
          <w:sz w:val="17"/>
          <w:szCs w:val="17"/>
          <w:b w:val="1"/>
          <w:bCs w:val="1"/>
          <w:i w:val="1"/>
          <w:iCs w:val="1"/>
          <w:color w:val="auto"/>
        </w:rPr>
        <w:t>What is the expected date of completion of the separation?</w:t>
      </w:r>
    </w:p>
    <w:p>
      <w:pPr>
        <w:spacing w:after="0" w:line="200" w:lineRule="exact"/>
        <w:rPr>
          <w:sz w:val="20"/>
          <w:szCs w:val="20"/>
          <w:color w:val="auto"/>
        </w:rPr>
      </w:pPr>
    </w:p>
    <w:p>
      <w:pPr>
        <w:spacing w:after="0" w:line="389" w:lineRule="exact"/>
        <w:rPr>
          <w:sz w:val="20"/>
          <w:szCs w:val="20"/>
          <w:color w:val="auto"/>
        </w:rPr>
      </w:pPr>
    </w:p>
    <w:p>
      <w:pPr>
        <w:ind w:left="180" w:right="60" w:hanging="174"/>
        <w:spacing w:after="0" w:line="265" w:lineRule="auto"/>
        <w:rPr>
          <w:sz w:val="20"/>
          <w:szCs w:val="20"/>
          <w:color w:val="auto"/>
        </w:rPr>
      </w:pPr>
      <w:r>
        <w:rPr>
          <w:rFonts w:ascii="Arial" w:cs="Arial" w:eastAsia="Arial" w:hAnsi="Arial"/>
          <w:sz w:val="17"/>
          <w:szCs w:val="17"/>
          <w:b w:val="1"/>
          <w:bCs w:val="1"/>
          <w:i w:val="1"/>
          <w:iCs w:val="1"/>
          <w:color w:val="auto"/>
        </w:rPr>
        <w:t>Can Abbott decide to cancel the distribution of AbbVie common stock even if all the conditions have been met?</w:t>
      </w:r>
    </w:p>
    <w:p>
      <w:pPr>
        <w:spacing w:after="0" w:line="185" w:lineRule="exact"/>
        <w:rPr>
          <w:sz w:val="20"/>
          <w:szCs w:val="20"/>
          <w:color w:val="auto"/>
        </w:rPr>
      </w:pPr>
    </w:p>
    <w:p>
      <w:pPr>
        <w:ind w:left="180" w:right="20" w:hanging="174"/>
        <w:spacing w:after="0" w:line="270" w:lineRule="auto"/>
        <w:rPr>
          <w:sz w:val="20"/>
          <w:szCs w:val="20"/>
          <w:color w:val="auto"/>
        </w:rPr>
      </w:pPr>
      <w:r>
        <w:rPr>
          <w:rFonts w:ascii="Arial" w:cs="Arial" w:eastAsia="Arial" w:hAnsi="Arial"/>
          <w:sz w:val="17"/>
          <w:szCs w:val="17"/>
          <w:b w:val="1"/>
          <w:bCs w:val="1"/>
          <w:i w:val="1"/>
          <w:iCs w:val="1"/>
          <w:color w:val="auto"/>
        </w:rPr>
        <w:t>What if I want to sell my Abbott common stock or my AbbVie common stock?</w:t>
      </w:r>
    </w:p>
    <w:p>
      <w:pPr>
        <w:spacing w:after="0" w:line="179" w:lineRule="exact"/>
        <w:rPr>
          <w:sz w:val="20"/>
          <w:szCs w:val="20"/>
          <w:color w:val="auto"/>
        </w:rPr>
      </w:pPr>
    </w:p>
    <w:p>
      <w:pPr>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What is "regular-way" and "ex-distribution" trading of Abbott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160" w:hanging="174"/>
        <w:spacing w:after="0" w:line="315" w:lineRule="auto"/>
        <w:rPr>
          <w:sz w:val="20"/>
          <w:szCs w:val="20"/>
          <w:color w:val="auto"/>
        </w:rPr>
      </w:pPr>
      <w:r>
        <w:rPr>
          <w:rFonts w:ascii="Arial" w:cs="Arial" w:eastAsia="Arial" w:hAnsi="Arial"/>
          <w:sz w:val="16"/>
          <w:szCs w:val="16"/>
          <w:b w:val="1"/>
          <w:bCs w:val="1"/>
          <w:i w:val="1"/>
          <w:iCs w:val="1"/>
          <w:color w:val="auto"/>
        </w:rPr>
        <w:t>Where will I be able to trade shares of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What will happen to the listing of Abbott common shares?</w:t>
      </w:r>
    </w:p>
    <w:p>
      <w:pPr>
        <w:spacing w:after="0" w:line="170" w:lineRule="exact"/>
        <w:rPr>
          <w:sz w:val="20"/>
          <w:szCs w:val="20"/>
          <w:color w:val="auto"/>
        </w:rPr>
      </w:pPr>
    </w:p>
    <w:p>
      <w:pPr>
        <w:ind w:left="180" w:right="120" w:hanging="174"/>
        <w:spacing w:after="0" w:line="294" w:lineRule="auto"/>
        <w:rPr>
          <w:sz w:val="20"/>
          <w:szCs w:val="20"/>
          <w:color w:val="auto"/>
        </w:rPr>
      </w:pPr>
      <w:r>
        <w:rPr>
          <w:rFonts w:ascii="Arial" w:cs="Arial" w:eastAsia="Arial" w:hAnsi="Arial"/>
          <w:sz w:val="16"/>
          <w:szCs w:val="16"/>
          <w:b w:val="1"/>
          <w:bCs w:val="1"/>
          <w:i w:val="1"/>
          <w:iCs w:val="1"/>
          <w:color w:val="auto"/>
        </w:rPr>
        <w:t>Will the number of Abbott common shares that I own change as a result of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completion and timing of the separation are dependent upon a number of conditions. It is expected that the shares of AbbVie common stock will be distributed by Abbott on January 1, 2013 to the holders of record of Abbott common shares at the close of business on the record date. However, no assurance can be provided as to the timing of the separation or that all conditions to the separation will be met.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Yes. The distribution is subject to the satisfaction or waiver of certain conditions. See the section entitled "The Separation and Distribution—Conditions to the Distribution." Until the distribution has occurred, Abbott has the right to terminate the distribution, even if all of the conditions are satisfied.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You should consult with your financial advisors, such as your stockbroker, bank or tax advisor.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Beginning on or shortly before the record date and continuing up to and through the distribution date, it is expected that there will be two markets in Abbott common shares: a "regular-way" market and an "ex-distribution" market. Abbott common shares that trade in the "regular-way" market will trade with an entitlement to shares of AbbVie common stock distributed pursuant to the distribution. Shares that trade in the "ex-distribution" market will trade without an entitlement to shares of AbbVie common stock distributed pursuant to the distribution.</w:t>
      </w:r>
    </w:p>
    <w:p>
      <w:pPr>
        <w:spacing w:after="0" w:line="17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If you decide to sell any Abbott common shares before the distribution date, you should make sure your stockbroker, bank or other nominee understands whether you want to sell your Abbott common shares with or without your entitlement to AbbVie common stock pursuant to the distribution.</w:t>
      </w:r>
    </w:p>
    <w:p>
      <w:pPr>
        <w:spacing w:after="0" w:line="17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AbbVie intends to apply to list its common stock on the NYSE under the symbol "ABBV." AbbVie anticipates that trading in shares of its common stock will begin on a "when-issued" basis on or shortly before the record date and will continue up to and through the distribution date and that "regular-way" trading in AbbVie common stock will begin on the first trading day following the completion of the separation. If trading begins on a "when-issued" basis, you may purchase or sell AbbVie common stock up to and through the distribution date, but your transaction will not settle until after the distribution date. AbbVie cannot predict the trading prices for its common stock before, on or after the distribution date. AbbVie also intends to list its common stock on the Chicago Stock Exchange, the London Stock Exchange, and the SIX Swiss Exchange.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Abbott common shares will continue to trade on the NYSE after the distribution.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 The number of Abbott common shares that you own will not change as a 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40" w:space="280"/>
            <w:col w:w="830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Will the distribution affect the market price of my Abbott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right="80" w:hanging="174"/>
        <w:spacing w:after="0" w:line="353" w:lineRule="auto"/>
        <w:rPr>
          <w:sz w:val="20"/>
          <w:szCs w:val="20"/>
          <w:color w:val="auto"/>
        </w:rPr>
      </w:pPr>
      <w:r>
        <w:rPr>
          <w:rFonts w:ascii="Arial" w:cs="Arial" w:eastAsia="Arial" w:hAnsi="Arial"/>
          <w:sz w:val="14"/>
          <w:szCs w:val="14"/>
          <w:b w:val="1"/>
          <w:bCs w:val="1"/>
          <w:i w:val="1"/>
          <w:iCs w:val="1"/>
          <w:color w:val="auto"/>
        </w:rPr>
        <w:t>What are the material U.S. federal income tax consequences of the contribution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80" w:right="60" w:hanging="174"/>
        <w:spacing w:after="0" w:line="270" w:lineRule="auto"/>
        <w:rPr>
          <w:sz w:val="20"/>
          <w:szCs w:val="20"/>
          <w:color w:val="auto"/>
        </w:rPr>
      </w:pPr>
      <w:r>
        <w:rPr>
          <w:rFonts w:ascii="Arial" w:cs="Arial" w:eastAsia="Arial" w:hAnsi="Arial"/>
          <w:sz w:val="17"/>
          <w:szCs w:val="17"/>
          <w:b w:val="1"/>
          <w:bCs w:val="1"/>
          <w:i w:val="1"/>
          <w:iCs w:val="1"/>
          <w:color w:val="auto"/>
        </w:rPr>
        <w:t>How will I determine my tax basis in the AbbVie shares I receive in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Yes. As a result of the distribution, Abbott expects the trading price of Abbott common shares immediately following the distribution to be lower than the "regular-way" trading price of such shares immediately prior to the distribution because the trading price will no longer reflect the value of the research-based pharmaceuticals business held by AbbVie. Abbott believes that over time following the separation, assuming the same market conditions and the realization of the expected benefits of the separation, the Abbott common shares and the AbbVie common stock should have a higher aggregate market value as compared to what the market value of Abbott common shares would be if the separation and distribution did not occur. There can be no assurance, however, that such a higher aggregate market value will be achieved. This</w:t>
      </w:r>
    </w:p>
    <w:p>
      <w:pPr>
        <w:jc w:val="both"/>
        <w:ind w:right="80"/>
        <w:spacing w:after="0" w:line="266" w:lineRule="auto"/>
        <w:rPr>
          <w:sz w:val="20"/>
          <w:szCs w:val="20"/>
          <w:color w:val="auto"/>
        </w:rPr>
      </w:pPr>
      <w:r>
        <w:rPr>
          <w:rFonts w:ascii="Arial" w:cs="Arial" w:eastAsia="Arial" w:hAnsi="Arial"/>
          <w:sz w:val="17"/>
          <w:szCs w:val="17"/>
          <w:color w:val="auto"/>
        </w:rPr>
        <w:t>means, for example, that the combined trading prices of one Abbott common share and share[s] of AbbVie common stock after the distribution may be equal to, greater than or less than the trading price of one Abbott common share before the distribution.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It is a condition to the completion of the distribution that Abbott receive a private letter ruling from the IRS to the effect that, among other things, the separation and the distribution will qualify as a transaction that is tax-free for U.S. federal income tax purposes under Sections 355 and 368(a)(1)(D) of the Code and that such ruling shall not have been revoked or modified in any material respect. In addition, it is a condition to the completion of the distribution that Abbott receive an opinion from outside tax counsel to the effect that the separation and the distribution will qualify as a transaction that is described in Sections 355(a) and 368(a)(1)(D) of the Code. Under the private letter ruling from the IRS, the separation and the distribution will qualify as a reorganization for U.S. federal income tax purposes under Section 355 and Section 368(a)</w:t>
      </w:r>
    </w:p>
    <w:p>
      <w:pPr>
        <w:spacing w:after="0" w:line="300" w:lineRule="auto"/>
        <w:rPr>
          <w:sz w:val="20"/>
          <w:szCs w:val="20"/>
          <w:color w:val="auto"/>
        </w:rPr>
      </w:pPr>
      <w:r>
        <w:rPr>
          <w:rFonts w:ascii="Arial" w:cs="Arial" w:eastAsia="Arial" w:hAnsi="Arial"/>
          <w:sz w:val="15"/>
          <w:szCs w:val="15"/>
          <w:color w:val="auto"/>
        </w:rPr>
        <w:t>(1)(D) of the Code, and accordingly, no gain or loss will be recognized by Abbott in connection with the separation and distribution and, except with respect to cash received in lieu of a fractional share of AbbVie common stock, no gain or loss will be recognized by you, and no amount will be included in your income, upon the receipt of shares of AbbVie common stock in the distribution for U.S. federal income tax purposes. You will, however, recognize gain or loss for U.S. federal income tax purposes with respect to cash received in lieu of a fractional share of AbbVie common stock. For more information regarding the private letter ruling and the potential U.S. federal income tax consequences to Abbott and to you of the separation and the distribution, see the section entitled "Material U.S. Federal Income Tax Consequences."</w:t>
      </w:r>
    </w:p>
    <w:p>
      <w:pPr>
        <w:spacing w:after="0" w:line="163"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For U.S. federal income tax purposes, your aggregate basis in the common shares that you hold in Abbott and the new AbbVie common stock received in the distribution (including</w:t>
      </w:r>
    </w:p>
    <w:p>
      <w:pPr>
        <w:spacing w:after="0" w:line="200" w:lineRule="exact"/>
        <w:rPr>
          <w:sz w:val="20"/>
          <w:szCs w:val="20"/>
          <w:color w:val="auto"/>
        </w:rPr>
      </w:pPr>
    </w:p>
    <w:p>
      <w:pPr>
        <w:spacing w:after="0" w:line="38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640" w:space="380"/>
            <w:col w:w="838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20" w:right="240"/>
        <w:spacing w:after="0" w:line="311" w:lineRule="auto"/>
        <w:rPr>
          <w:sz w:val="20"/>
          <w:szCs w:val="20"/>
          <w:color w:val="auto"/>
        </w:rPr>
      </w:pPr>
      <w:r>
        <w:rPr>
          <w:rFonts w:ascii="Arial" w:cs="Arial" w:eastAsia="Arial" w:hAnsi="Arial"/>
          <w:sz w:val="15"/>
          <w:szCs w:val="15"/>
          <w:color w:val="auto"/>
        </w:rPr>
        <w:t>any fractional share interest in AbbVie common stock for which cash is received) will equal the aggregate basis in the Abbott common shares held by you immediately before the distribution, allocated between your Abbott common shares and the AbbVie common stock (including any fractional share interest in AbbVie common stock for which cash is received) you receive in the distribution in proportion to the relative fair market value of each on the distribution date.</w:t>
      </w:r>
    </w:p>
    <w:p>
      <w:pPr>
        <w:spacing w:after="0" w:line="155" w:lineRule="exact"/>
        <w:rPr>
          <w:sz w:val="20"/>
          <w:szCs w:val="20"/>
          <w:color w:val="auto"/>
        </w:rPr>
      </w:pPr>
    </w:p>
    <w:p>
      <w:pPr>
        <w:ind w:left="3020" w:right="80"/>
        <w:spacing w:after="0" w:line="282" w:lineRule="auto"/>
        <w:rPr>
          <w:sz w:val="20"/>
          <w:szCs w:val="20"/>
          <w:color w:val="auto"/>
        </w:rPr>
      </w:pPr>
      <w:r>
        <w:rPr>
          <w:rFonts w:ascii="Arial" w:cs="Arial" w:eastAsia="Arial" w:hAnsi="Arial"/>
          <w:sz w:val="17"/>
          <w:szCs w:val="17"/>
          <w:color w:val="auto"/>
        </w:rPr>
        <w:t>You should consult your tax advisor about the particular consequences of the distribution to you, including the application of the tax basis allocation rules and the application of state, local and foreign tax laws.</w:t>
      </w:r>
    </w:p>
    <w:p>
      <w:pPr>
        <w:spacing w:after="0" w:line="170"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What will AbbVie's relationship be with</w:t>
      </w:r>
      <w:r>
        <w:rPr>
          <w:sz w:val="20"/>
          <w:szCs w:val="20"/>
          <w:color w:val="auto"/>
        </w:rPr>
        <w:tab/>
      </w:r>
      <w:r>
        <w:rPr>
          <w:rFonts w:ascii="Arial" w:cs="Arial" w:eastAsia="Arial" w:hAnsi="Arial"/>
          <w:sz w:val="15"/>
          <w:szCs w:val="15"/>
          <w:color w:val="auto"/>
        </w:rPr>
        <w:t>AbbVie will enter into a separation and distribution agreement with Abbott to effect the separation and provide a</w:t>
      </w:r>
    </w:p>
    <w:p>
      <w:pPr>
        <w:spacing w:after="0" w:line="20" w:lineRule="exact"/>
        <w:rPr>
          <w:sz w:val="20"/>
          <w:szCs w:val="20"/>
          <w:color w:val="auto"/>
        </w:rPr>
      </w:pPr>
    </w:p>
    <w:p>
      <w:pPr>
        <w:ind w:left="3020" w:right="100" w:hanging="2839"/>
        <w:spacing w:after="0" w:line="276" w:lineRule="auto"/>
        <w:tabs>
          <w:tab w:leader="none" w:pos="3000" w:val="left"/>
        </w:tabs>
        <w:rPr>
          <w:sz w:val="20"/>
          <w:szCs w:val="20"/>
          <w:color w:val="auto"/>
        </w:rPr>
      </w:pPr>
      <w:r>
        <w:rPr>
          <w:rFonts w:ascii="Arial" w:cs="Arial" w:eastAsia="Arial" w:hAnsi="Arial"/>
          <w:sz w:val="17"/>
          <w:szCs w:val="17"/>
          <w:b w:val="1"/>
          <w:bCs w:val="1"/>
          <w:i w:val="1"/>
          <w:iCs w:val="1"/>
          <w:color w:val="auto"/>
        </w:rPr>
        <w:t>Abbott following the separation?</w:t>
      </w:r>
      <w:r>
        <w:rPr>
          <w:sz w:val="20"/>
          <w:szCs w:val="20"/>
          <w:color w:val="auto"/>
        </w:rPr>
        <w:tab/>
      </w:r>
      <w:r>
        <w:rPr>
          <w:rFonts w:ascii="Arial" w:cs="Arial" w:eastAsia="Arial" w:hAnsi="Arial"/>
          <w:sz w:val="16"/>
          <w:szCs w:val="16"/>
          <w:color w:val="auto"/>
        </w:rPr>
        <w:t>framework for AbbVie's relationship with Abbott after the separation as well as certain other agreements,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and a transitional trademark license agreement. These agreements will provide for the separation between AbbVie and Abbott of the assets, employees, liabilities and obligations (including its investments, property and employee benefits and tax-related assets and liabilities) of Abbott and its subsidiaries attributable to periods prior to, at and after AbbVie's separation from Abbott and will govern the relationship between AbbVie and Abbott subsequent to the completion of the separation. For additional information regarding the separation and distribution agreement and other transaction agreements, see the sections entitled "Risk Factors—Risks Related to the Separation" and "Certain Relationships and Related Person Transactions."</w:t>
      </w:r>
    </w:p>
    <w:p>
      <w:pPr>
        <w:sectPr>
          <w:pgSz w:w="11900" w:h="16838" w:orient="portrait"/>
          <w:cols w:equalWidth="0" w:num="1">
            <w:col w:w="11420"/>
          </w:cols>
          <w:pgMar w:left="240" w:top="131" w:right="239" w:bottom="1440" w:gutter="0" w:footer="0" w:header="0"/>
        </w:sectPr>
      </w:pPr>
    </w:p>
    <w:p>
      <w:pPr>
        <w:spacing w:after="0" w:line="183" w:lineRule="exact"/>
        <w:rPr>
          <w:sz w:val="20"/>
          <w:szCs w:val="20"/>
          <w:color w:val="auto"/>
        </w:r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Who will manage AbbVie after the separation?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AbbVie benefits from having in place a management team with an extensive background in the research-based pharmaceuticals business. Led by Richard A. Gonzalez, who will be AbbVie's Chairman and Chief Executive Officer after the separation, AbbVie's management team possesses deep knowledge of, and extensive experience in, its industry. AbbVie's management team also includes William J. Chase, Laura J. Schumacher, Carlos Alban, John Leonard, M.D., Timothy J. Richmond, Azita Saleki-Gerhardt, and Thomas A. Hurwich, who have all held senior positions of responsibility at Abbott. For more information regarding AbbVie's management, see "Management."</w:t>
      </w:r>
    </w:p>
    <w:p>
      <w:pPr>
        <w:spacing w:after="0" w:line="176" w:lineRule="exact"/>
        <w:rPr>
          <w:sz w:val="20"/>
          <w:szCs w:val="20"/>
          <w:color w:val="auto"/>
        </w:rPr>
      </w:pPr>
    </w:p>
    <w:p>
      <w:pPr>
        <w:sectPr>
          <w:pgSz w:w="11900" w:h="16838" w:orient="portrait"/>
          <w:cols w:equalWidth="0" w:num="2">
            <w:col w:w="2420" w:space="600"/>
            <w:col w:w="84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20"/>
                <w:szCs w:val="20"/>
                <w:color w:val="auto"/>
              </w:rPr>
            </w:pPr>
            <w:r>
              <w:rPr>
                <w:rFonts w:ascii="Arial" w:cs="Arial" w:eastAsia="Arial" w:hAnsi="Arial"/>
                <w:sz w:val="17"/>
                <w:szCs w:val="17"/>
                <w:b w:val="1"/>
                <w:bCs w:val="1"/>
                <w:i w:val="1"/>
                <w:iCs w:val="1"/>
                <w:color w:val="auto"/>
                <w:w w:val="90"/>
              </w:rPr>
              <w:t>Are there risks associated with owning</w:t>
            </w:r>
          </w:p>
        </w:tc>
        <w:tc>
          <w:tcPr>
            <w:tcW w:w="8560" w:type="dxa"/>
            <w:vAlign w:val="bottom"/>
          </w:tcPr>
          <w:p>
            <w:pPr>
              <w:ind w:left="160"/>
              <w:spacing w:after="0"/>
              <w:rPr>
                <w:sz w:val="20"/>
                <w:szCs w:val="20"/>
                <w:color w:val="auto"/>
              </w:rPr>
            </w:pPr>
            <w:r>
              <w:rPr>
                <w:rFonts w:ascii="Arial" w:cs="Arial" w:eastAsia="Arial" w:hAnsi="Arial"/>
                <w:sz w:val="17"/>
                <w:szCs w:val="17"/>
                <w:color w:val="auto"/>
                <w:w w:val="93"/>
              </w:rPr>
              <w:t>Yes. Ownership of AbbVie common stock is subject to both general and specific risks relating to AbbVie's business, the</w:t>
            </w:r>
          </w:p>
        </w:tc>
      </w:tr>
      <w:tr>
        <w:trPr>
          <w:trHeight w:val="216"/>
        </w:trPr>
        <w:tc>
          <w:tcPr>
            <w:tcW w:w="2860" w:type="dxa"/>
            <w:vAlign w:val="bottom"/>
          </w:tcPr>
          <w:p>
            <w:pPr>
              <w:ind w:left="180"/>
              <w:spacing w:after="0"/>
              <w:rPr>
                <w:sz w:val="20"/>
                <w:szCs w:val="20"/>
                <w:color w:val="auto"/>
              </w:rPr>
            </w:pPr>
            <w:r>
              <w:rPr>
                <w:rFonts w:ascii="Arial" w:cs="Arial" w:eastAsia="Arial" w:hAnsi="Arial"/>
                <w:sz w:val="17"/>
                <w:szCs w:val="17"/>
                <w:b w:val="1"/>
                <w:bCs w:val="1"/>
                <w:i w:val="1"/>
                <w:iCs w:val="1"/>
                <w:color w:val="auto"/>
              </w:rPr>
              <w:t>AbbVie common stock?</w:t>
            </w:r>
          </w:p>
        </w:tc>
        <w:tc>
          <w:tcPr>
            <w:tcW w:w="8560" w:type="dxa"/>
            <w:vAlign w:val="bottom"/>
          </w:tcPr>
          <w:p>
            <w:pPr>
              <w:ind w:left="160"/>
              <w:spacing w:after="0"/>
              <w:rPr>
                <w:sz w:val="20"/>
                <w:szCs w:val="20"/>
                <w:color w:val="auto"/>
              </w:rPr>
            </w:pPr>
            <w:r>
              <w:rPr>
                <w:rFonts w:ascii="Arial" w:cs="Arial" w:eastAsia="Arial" w:hAnsi="Arial"/>
                <w:sz w:val="17"/>
                <w:szCs w:val="17"/>
                <w:color w:val="auto"/>
                <w:w w:val="97"/>
              </w:rPr>
              <w:t>industry in which it operates, its ongoing contractual relationships with Abbott and its status as a separate, publicly</w:t>
            </w:r>
          </w:p>
        </w:tc>
      </w:tr>
      <w:tr>
        <w:trPr>
          <w:trHeight w:val="629"/>
        </w:trPr>
        <w:tc>
          <w:tcPr>
            <w:tcW w:w="2860" w:type="dxa"/>
            <w:vAlign w:val="bottom"/>
          </w:tcPr>
          <w:p>
            <w:pPr>
              <w:spacing w:after="0"/>
              <w:rPr>
                <w:sz w:val="24"/>
                <w:szCs w:val="24"/>
                <w:color w:val="auto"/>
              </w:rPr>
            </w:pPr>
          </w:p>
        </w:tc>
        <w:tc>
          <w:tcPr>
            <w:tcW w:w="8560" w:type="dxa"/>
            <w:vAlign w:val="bottom"/>
          </w:tcPr>
          <w:p>
            <w:pPr>
              <w:jc w:val="right"/>
              <w:ind w:right="5575"/>
              <w:spacing w:after="0"/>
              <w:rPr>
                <w:sz w:val="20"/>
                <w:szCs w:val="20"/>
                <w:color w:val="auto"/>
              </w:rPr>
            </w:pPr>
            <w:r>
              <w:rPr>
                <w:rFonts w:ascii="Arial" w:cs="Arial" w:eastAsia="Arial" w:hAnsi="Arial"/>
                <w:sz w:val="17"/>
                <w:szCs w:val="17"/>
                <w:color w:val="auto"/>
              </w:rPr>
              <w:t>6</w:t>
            </w:r>
          </w:p>
        </w:tc>
      </w:tr>
      <w:tr>
        <w:trPr>
          <w:trHeight w:val="222"/>
        </w:trPr>
        <w:tc>
          <w:tcPr>
            <w:tcW w:w="2860" w:type="dxa"/>
            <w:vAlign w:val="bottom"/>
            <w:tcBorders>
              <w:bottom w:val="single" w:sz="8" w:color="808080"/>
            </w:tcBorders>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0" w:name="page81"/>
    <w:bookmarkEnd w:id="8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Does AbbVie plan to pay dividends?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4"/>
        <w:spacing w:after="0" w:line="287" w:lineRule="auto"/>
        <w:rPr>
          <w:sz w:val="20"/>
          <w:szCs w:val="20"/>
          <w:color w:val="auto"/>
        </w:rPr>
      </w:pPr>
      <w:r>
        <w:rPr>
          <w:rFonts w:ascii="Arial" w:cs="Arial" w:eastAsia="Arial" w:hAnsi="Arial"/>
          <w:sz w:val="16"/>
          <w:szCs w:val="16"/>
          <w:b w:val="1"/>
          <w:bCs w:val="1"/>
          <w:i w:val="1"/>
          <w:iCs w:val="1"/>
          <w:color w:val="auto"/>
        </w:rPr>
        <w:t>Who will be the distribution agent, transfer agent, registrar and information agent for the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20" w:hanging="174"/>
        <w:spacing w:after="0" w:line="352" w:lineRule="auto"/>
        <w:rPr>
          <w:sz w:val="20"/>
          <w:szCs w:val="20"/>
          <w:color w:val="auto"/>
        </w:rPr>
      </w:pPr>
      <w:r>
        <w:rPr>
          <w:rFonts w:ascii="Arial" w:cs="Arial" w:eastAsia="Arial" w:hAnsi="Arial"/>
          <w:sz w:val="15"/>
          <w:szCs w:val="15"/>
          <w:b w:val="1"/>
          <w:bCs w:val="1"/>
          <w:i w:val="1"/>
          <w:iCs w:val="1"/>
          <w:color w:val="auto"/>
        </w:rPr>
        <w:t>Where can I find more information about Abbott and AbbVie?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traded company. Ownership of AbbVie common stock is also subject to risks relating to the separation. These risks are described in the "Risk Factors" section of this information statement beginning on page 16. You are encouraged to read that section carefully.</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AbbVie currently expects that it will initially pay a regular cash dividend. However, the declaration and payment of any dividends in the future by AbbVie will be subject to the sole discretion of its board of directors and will depend upon many factors. See "Dividend Policy."</w:t>
      </w:r>
    </w:p>
    <w:p>
      <w:pPr>
        <w:spacing w:after="0" w:line="179" w:lineRule="exact"/>
        <w:rPr>
          <w:sz w:val="20"/>
          <w:szCs w:val="20"/>
          <w:color w:val="auto"/>
        </w:rPr>
      </w:pPr>
    </w:p>
    <w:p>
      <w:pPr>
        <w:ind w:right="780"/>
        <w:spacing w:after="0" w:line="352" w:lineRule="auto"/>
        <w:rPr>
          <w:sz w:val="20"/>
          <w:szCs w:val="20"/>
          <w:color w:val="auto"/>
        </w:rPr>
      </w:pPr>
      <w:r>
        <w:rPr>
          <w:rFonts w:ascii="Arial" w:cs="Arial" w:eastAsia="Arial" w:hAnsi="Arial"/>
          <w:sz w:val="15"/>
          <w:szCs w:val="15"/>
          <w:color w:val="auto"/>
        </w:rPr>
        <w:t>The distribution agent, transfer agent and registrar for the AbbVie common stock will be Computershare Trust Company, N.A. For questions relating to the transfer or mechanics of the stock distribution, you should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by a bank, broker or other nominee, you may call the information agent for the distribution,</w:t>
      </w:r>
    </w:p>
    <w:p>
      <w:pPr>
        <w:spacing w:after="0" w:line="32"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Georgeson Inc., toll free at</w:t>
      </w:r>
      <w:r>
        <w:rPr>
          <w:sz w:val="20"/>
          <w:szCs w:val="20"/>
          <w:color w:val="auto"/>
        </w:rPr>
        <w:tab/>
      </w:r>
      <w:r>
        <w:rPr>
          <w:rFonts w:ascii="Arial" w:cs="Arial" w:eastAsia="Arial" w:hAnsi="Arial"/>
          <w:sz w:val="14"/>
          <w:szCs w:val="14"/>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Before the distribution, if you have any questions relating to Abbott's business performance, you should contact: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Abbott Park, Illinois 60064-6400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www.abbottinvestor.com</w:t>
      </w:r>
    </w:p>
    <w:p>
      <w:pPr>
        <w:spacing w:after="0" w:line="218"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After the distribution, AbbVie stockholders who have any questions relating to AbbVie's business performance should contact AbbVie 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847-932-7900</w:t>
      </w:r>
    </w:p>
    <w:p>
      <w:pPr>
        <w:spacing w:after="0" w:line="1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i w:val="1"/>
          <w:iCs w:val="1"/>
          <w:color w:val="auto"/>
        </w:rPr>
        <w:t>www.</w:t>
      </w:r>
      <w:r>
        <w:rPr>
          <w:sz w:val="20"/>
          <w:szCs w:val="20"/>
          <w:color w:val="auto"/>
        </w:rPr>
        <w:tab/>
      </w:r>
      <w:r>
        <w:rPr>
          <w:rFonts w:ascii="Arial" w:cs="Arial" w:eastAsia="Arial" w:hAnsi="Arial"/>
          <w:sz w:val="14"/>
          <w:szCs w:val="14"/>
          <w:i w:val="1"/>
          <w:iCs w:val="1"/>
          <w:color w:val="auto"/>
        </w:rPr>
        <w:t>.com</w:t>
      </w:r>
    </w:p>
    <w:p>
      <w:pPr>
        <w:spacing w:after="0" w:line="21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520" w:space="500"/>
            <w:col w:w="840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97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4565" cy="649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INFORMATION STATEMENT SUMMARY</w:t>
      </w:r>
    </w:p>
    <w:p>
      <w:pPr>
        <w:spacing w:after="0" w:line="228"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i w:val="1"/>
          <w:iCs w:val="1"/>
          <w:color w:val="auto"/>
        </w:rPr>
        <w:t>The following is a summary of material information discussed in this information statement. This summary may not contain all the details concerning the separation or other information that may be important to you. To better understand the separation and AbbVie's business and financial position, you should carefully review this entire information statement. Except as otherwise indicated or unless the context otherwise requires, the information included in this information statemen assumes the completion of all the transactions referred to in this information statement in connection with the separation and distribution. Unless the context otherwise requires, references in this information statement to "AbbVie" and "the company" refer to AbbVie Inc. and its combined subsidiaries. References in this information statement to "Abbott" and "Abbott Laboratories" refer to Abbott Laboratories, an Illinois corporation, and its consolidated subsidiaries, unless the context otherwise requires.</w:t>
      </w:r>
    </w:p>
    <w:p>
      <w:pPr>
        <w:spacing w:after="0" w:line="190" w:lineRule="exact"/>
        <w:rPr>
          <w:sz w:val="20"/>
          <w:szCs w:val="20"/>
          <w:color w:val="auto"/>
        </w:rPr>
      </w:pPr>
    </w:p>
    <w:p>
      <w:pPr>
        <w:ind w:left="240" w:right="160" w:firstLine="338"/>
        <w:spacing w:after="0" w:line="265" w:lineRule="auto"/>
        <w:rPr>
          <w:sz w:val="20"/>
          <w:szCs w:val="20"/>
          <w:color w:val="auto"/>
        </w:rPr>
      </w:pPr>
      <w:r>
        <w:rPr>
          <w:rFonts w:ascii="Arial" w:cs="Arial" w:eastAsia="Arial" w:hAnsi="Arial"/>
          <w:sz w:val="17"/>
          <w:szCs w:val="17"/>
          <w:color w:val="auto"/>
        </w:rPr>
        <w:t>This information statement describes the businesses to be transferred to AbbVie by Abbott in the separation as if the transferred businesses were AbbVie's businesses for all historical periods described. References in this information statement to AbbVie's historical assets, liabilities, products, businesses or activities of AbbVie's business are generally intended to refer to the historical assets, liabilities, products, businesses or activities of the transferred businesses as the businesses were conducted as part of Abbott and its subsidiaries prior to the separation.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left="240" w:right="160" w:firstLine="331"/>
        <w:spacing w:after="0" w:line="262" w:lineRule="auto"/>
        <w:rPr>
          <w:sz w:val="20"/>
          <w:szCs w:val="20"/>
          <w:color w:val="auto"/>
        </w:rPr>
      </w:pPr>
      <w:r>
        <w:rPr>
          <w:rFonts w:ascii="Arial" w:cs="Arial" w:eastAsia="Arial" w:hAnsi="Arial"/>
          <w:sz w:val="17"/>
          <w:szCs w:val="17"/>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 After the separation, AbbVie will be a Fortune 200 company.</w:t>
      </w:r>
    </w:p>
    <w:p>
      <w:pPr>
        <w:spacing w:after="0" w:line="188" w:lineRule="exact"/>
        <w:rPr>
          <w:sz w:val="20"/>
          <w:szCs w:val="20"/>
          <w:color w:val="auto"/>
        </w:rPr>
      </w:pPr>
    </w:p>
    <w:p>
      <w:pPr>
        <w:ind w:left="240" w:right="40" w:firstLine="341"/>
        <w:spacing w:after="0" w:line="283" w:lineRule="auto"/>
        <w:rPr>
          <w:sz w:val="20"/>
          <w:szCs w:val="20"/>
          <w:color w:val="auto"/>
        </w:rPr>
      </w:pPr>
      <w:r>
        <w:rPr>
          <w:rFonts w:ascii="Arial" w:cs="Arial" w:eastAsia="Arial" w:hAnsi="Arial"/>
          <w:sz w:val="16"/>
          <w:szCs w:val="16"/>
          <w:color w:val="auto"/>
        </w:rPr>
        <w:t>In 2011, AbbVie generated revenue of approximately $17.4 billion, growing 11.6 percent from 2010, with net earnings of $3.4 billion. AbbVie's revenues are generated worldwide, with approximately 55 percent of 2011 revenue generated in the United States, approximately 31 percent in the European Union and other developed markets, and approximately 14 percent in emerging markets. AbbVie has a strong portfolio of marketed products led by HUMIRA. HUMIRA is approved for seven indications in the United States and eight in the European Union, and is also in development for a number of additional indications. Since the launch of HUMIRA in 2003, AbbVie has successfully grown worldwide sales of this product to approximately $7.9 billion in 2011.</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AbbVie's principal products are:</w:t>
      </w:r>
    </w:p>
    <w:p>
      <w:pPr>
        <w:spacing w:after="0" w:line="250" w:lineRule="exact"/>
        <w:rPr>
          <w:sz w:val="20"/>
          <w:szCs w:val="20"/>
          <w:color w:val="auto"/>
        </w:rPr>
      </w:pPr>
    </w:p>
    <w:p>
      <w:pPr>
        <w:ind w:left="1280" w:right="380" w:hanging="524"/>
        <w:spacing w:after="0" w:line="315" w:lineRule="auto"/>
        <w:tabs>
          <w:tab w:leader="none" w:pos="12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HUMIRA, for the treatment of rheumatoid arthritis, psoriatic arthritis, ankylosing spondylitis, psoriasis, juvenile idiopathic arthritis, and Crohn's disease as well as ulcerative colitis in the United States and European Union and axial spondyloarthritis in the European Union;</w:t>
      </w:r>
    </w:p>
    <w:p>
      <w:pPr>
        <w:spacing w:after="0" w:line="159" w:lineRule="exact"/>
        <w:rPr>
          <w:rFonts w:ascii="Arial" w:cs="Arial" w:eastAsia="Arial" w:hAnsi="Arial"/>
          <w:sz w:val="16"/>
          <w:szCs w:val="16"/>
          <w:color w:val="auto"/>
        </w:rPr>
      </w:pPr>
    </w:p>
    <w:p>
      <w:pPr>
        <w:ind w:left="1280" w:hanging="524"/>
        <w:spacing w:after="0"/>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Kaletra, also marketed as Aluvia, and Norvir for the treatment of HIV infection;</w:t>
      </w:r>
    </w:p>
    <w:p>
      <w:pPr>
        <w:spacing w:after="0" w:line="237"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Lupron, also marketed as Lucrin, and Lupron Depot, used for the palliative treatment of advanced prostate cancer, treatment of endometriosis and central precocious puberty, and for the preoperative treatment of patients with anemia caused by uterine fibroids;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Synagis, for the prevention of respiratory syncytial virus (RSV);</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AndroGel, for the treatment of adult males who have low testosterone;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anesthesia product sevoflurane (sold under the trademarks Ultane and Sevorane);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Zemplar, for the prevention and treatment of secondary hyperparathyroidism associated with Stage 3, 4, or 5 chronic kidney disease;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Synthroid, for the treatment of hypothyroidism;</w:t>
      </w:r>
    </w:p>
    <w:p>
      <w:pPr>
        <w:spacing w:after="0" w:line="250" w:lineRule="exact"/>
        <w:rPr>
          <w:rFonts w:ascii="Arial" w:cs="Arial" w:eastAsia="Arial" w:hAnsi="Arial"/>
          <w:sz w:val="17"/>
          <w:szCs w:val="17"/>
          <w:color w:val="auto"/>
        </w:rPr>
      </w:pPr>
    </w:p>
    <w:p>
      <w:pPr>
        <w:ind w:left="1280" w:right="400" w:hanging="524"/>
        <w:spacing w:after="0" w:line="282" w:lineRule="auto"/>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Creon, for the treatment of pancreatic exocrine insufficiency associated with several underlying conditions, including cystic fibrosis and chronic pancreatitis;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TriCor, Trilipix, Simcor, and Niaspan, for the treatment of dyslipidemia.</w:t>
      </w:r>
    </w:p>
    <w:p>
      <w:pPr>
        <w:spacing w:after="0" w:line="224" w:lineRule="exact"/>
        <w:rPr>
          <w:sz w:val="20"/>
          <w:szCs w:val="20"/>
          <w:color w:val="auto"/>
        </w:rPr>
      </w:pPr>
    </w:p>
    <w:p>
      <w:pPr>
        <w:ind w:left="240" w:right="280"/>
        <w:spacing w:after="0" w:line="282" w:lineRule="auto"/>
        <w:rPr>
          <w:sz w:val="20"/>
          <w:szCs w:val="20"/>
          <w:color w:val="auto"/>
        </w:rPr>
      </w:pPr>
      <w:r>
        <w:rPr>
          <w:rFonts w:ascii="Arial" w:cs="Arial" w:eastAsia="Arial" w:hAnsi="Arial"/>
          <w:sz w:val="17"/>
          <w:szCs w:val="17"/>
          <w:color w:val="auto"/>
        </w:rPr>
        <w:t>AbbVie has the rights to sell AndroGel, Synthroid, Creon, TriCor, Trilipix and Niaspan only in the United States. AbbVie has the rights to sell Simcor worldwide except Canada. AbbVie has the rights to sell sevoflurane for human use worldwide.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Strengths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seven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indications 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 diagnosis, demographics, and market penetration. AbbVie's products demonstrate strong clinical performance for the patient and economic value for the payor.</w:t>
      </w:r>
    </w:p>
    <w:p>
      <w:pPr>
        <w:spacing w:after="0" w:line="174" w:lineRule="exact"/>
        <w:rPr>
          <w:sz w:val="20"/>
          <w:szCs w:val="20"/>
          <w:color w:val="auto"/>
        </w:rPr>
      </w:pPr>
    </w:p>
    <w:p>
      <w:pPr>
        <w:ind w:left="240" w:firstLine="341"/>
        <w:spacing w:after="0" w:line="262"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AbbVie's investigational interferon-free HCV treatment, which is currently in Phase III development, has the potential to shorten and simplify treatment and increase cure rates. In addition, other Phase III programs include: daclizumab for multiple sclerosis; a levodopa-carbidopa intestin gel (LGIC) in the United States for advanced Parkinson's disease; elagolix for endometriosis; elotuzumab for multiple myeloma; and several new Humira indications. AbbVie's pipeline also includes 10 compounds or new indications in mid-stage trials, including several that are expected to advance to Phase III within the next 18 months.</w:t>
      </w:r>
    </w:p>
    <w:p>
      <w:pPr>
        <w:spacing w:after="0" w:line="188" w:lineRule="exact"/>
        <w:rPr>
          <w:sz w:val="20"/>
          <w:szCs w:val="20"/>
          <w:color w:val="auto"/>
        </w:rPr>
      </w:pPr>
    </w:p>
    <w:p>
      <w:pPr>
        <w:ind w:left="240" w:right="2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would allow the company to continue to invest in its pipeline and return cash to stockholders in the form of dividends.</w:t>
      </w:r>
    </w:p>
    <w:p>
      <w:pPr>
        <w:spacing w:after="0" w:line="179" w:lineRule="exact"/>
        <w:rPr>
          <w:sz w:val="20"/>
          <w:szCs w:val="20"/>
          <w:color w:val="auto"/>
        </w:rPr>
      </w:pPr>
    </w:p>
    <w:p>
      <w:pPr>
        <w:ind w:left="240" w:firstLine="341"/>
        <w:spacing w:after="0" w:line="270" w:lineRule="auto"/>
        <w:rPr>
          <w:sz w:val="20"/>
          <w:szCs w:val="20"/>
          <w:color w:val="auto"/>
        </w:rPr>
      </w:pPr>
      <w:r>
        <w:rPr>
          <w:rFonts w:ascii="Arial" w:cs="Arial" w:eastAsia="Arial" w:hAnsi="Arial"/>
          <w:sz w:val="17"/>
          <w:szCs w:val="17"/>
          <w:b w:val="1"/>
          <w:bCs w:val="1"/>
          <w:i w:val="1"/>
          <w:iCs w:val="1"/>
          <w:color w:val="auto"/>
        </w:rPr>
        <w:t xml:space="preserve">Experienced management team with track record of successful performance. </w:t>
      </w:r>
      <w:r>
        <w:rPr>
          <w:rFonts w:ascii="Arial" w:cs="Arial" w:eastAsia="Arial" w:hAnsi="Arial"/>
          <w:sz w:val="17"/>
          <w:szCs w:val="17"/>
          <w:color w:val="auto"/>
        </w:rPr>
        <w:t>AbbVie's management team has a strong track record of performance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execution. Richard A. Gonzalez, who has served as Executive Vice President of Abbott's Pharmaceutical Products Group since 2010, will be AbbVie's Chairman of th Board and Chief Executive Officer. Mr. Gonzalez has served more than 30 years 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99" w:lineRule="auto"/>
        <w:rPr>
          <w:sz w:val="20"/>
          <w:szCs w:val="20"/>
          <w:color w:val="auto"/>
        </w:rPr>
      </w:pPr>
      <w:r>
        <w:rPr>
          <w:rFonts w:ascii="Arial" w:cs="Arial" w:eastAsia="Arial" w:hAnsi="Arial"/>
          <w:sz w:val="15"/>
          <w:szCs w:val="15"/>
          <w:color w:val="auto"/>
        </w:rPr>
        <w:t>various capacities at Abbott, including as President and Chief Operating Officer. William J. Chase, who has served more than 20 years in various capacities at Abbott including as Abbott's Vice President, Licensing and Acquisitions since 2010 and as Abbott's Treasurer, will be AbbVie's Executive Vice President, Chief Financial Officer. Laura J. Schumacher, who has served as Executive Vice President, General Counsel and Corporate Secretary of Abbott, with additional responsibility for Abbott's licensing and acquisitions function and its Office of Ethics and Compliance, will be AbbVie's Executive Vice President, Business Development and External Affairs and General Counsel. Ms. Schumacher has served over 20 years at Abbott and was head of Abbott's litigation department before being appointed General Counsel. Timothy J. Richmond, who has served more than 5 years at Abbott, most recently as Divisional Vice President of Compensation and Benefits, will be Senio Vice President, Chief Human Resources Officer of AbbVie. Azita Saleki-Gerhardt, who has served over 15 years at Abbott, most recently as Vice President, Pharmaceuticals Manufacturing and Supply, is expected to be named AbbVie's Senior Vice President, Operations. Thomas A. Hurwich, who has served over 25 years at Abbott, most recently as Vice President, Internal Audit, is expected to be named Vice President, Controller of AbbVie.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Strategies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left="240" w:firstLine="341"/>
        <w:spacing w:after="0" w:line="280" w:lineRule="auto"/>
        <w:rPr>
          <w:sz w:val="20"/>
          <w:szCs w:val="20"/>
          <w:color w:val="auto"/>
        </w:rPr>
      </w:pPr>
      <w:r>
        <w:rPr>
          <w:rFonts w:ascii="Arial" w:cs="Arial" w:eastAsia="Arial" w:hAnsi="Arial"/>
          <w:sz w:val="16"/>
          <w:szCs w:val="16"/>
          <w:b w:val="1"/>
          <w:bCs w:val="1"/>
          <w:i w:val="1"/>
          <w:iCs w:val="1"/>
          <w:color w:val="auto"/>
        </w:rPr>
        <w:t xml:space="preserve">Expanding HUMIRA sales. </w:t>
      </w:r>
      <w:r>
        <w:rPr>
          <w:rFonts w:ascii="Arial" w:cs="Arial" w:eastAsia="Arial" w:hAnsi="Arial"/>
          <w:sz w:val="16"/>
          <w:szCs w:val="16"/>
          <w:color w:val="auto"/>
        </w:rPr>
        <w:t>AbbVie expects to continue to drive strong HUMIRA sales growth in two ways. First, AbbVie is seeking to expand patients' use 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biologic, HUMIRA. Worldwide use of biologics in applicable populations continues to be low, ranging from mid-single digit percentages in moderate to severe plaque psoriasis to the mid-20s for conditions such as moderate to severe rheumatoid arthritis and moderate to severe Crohn's disease. AbbVie believes that there is significant room for increasing clinically appropriate use across all of HUMIRA's therapeutic areas, particularly in international markets. By encouraging early diagnosis and proper use of HUMIRA for clinically appropriate patients, AbbVie intends to increase the number of patients who use HUMIRA to treat their autoimmune conditions. Second, AbbVie is seeking to expand the HUMIRA patient base by applying for regulatory approval of new indications for HUMIRA, treating conditions such as axial and peripheral spondyloarthritis and uveitis.</w:t>
      </w:r>
    </w:p>
    <w:p>
      <w:pPr>
        <w:spacing w:after="0" w:line="175" w:lineRule="exact"/>
        <w:rPr>
          <w:sz w:val="20"/>
          <w:szCs w:val="20"/>
          <w:color w:val="auto"/>
        </w:rPr>
      </w:pPr>
    </w:p>
    <w:p>
      <w:pPr>
        <w:ind w:left="240" w:firstLine="335"/>
        <w:spacing w:after="0" w:line="303" w:lineRule="auto"/>
        <w:rPr>
          <w:sz w:val="20"/>
          <w:szCs w:val="20"/>
          <w:color w:val="auto"/>
        </w:rPr>
      </w:pPr>
      <w:r>
        <w:rPr>
          <w:rFonts w:ascii="Arial" w:cs="Arial" w:eastAsia="Arial" w:hAnsi="Arial"/>
          <w:sz w:val="15"/>
          <w:szCs w:val="15"/>
          <w:b w:val="1"/>
          <w:bCs w:val="1"/>
          <w:i w:val="1"/>
          <w:iCs w:val="1"/>
          <w:color w:val="auto"/>
        </w:rPr>
        <w:t xml:space="preserve">Advancing the pipeline. </w:t>
      </w:r>
      <w:r>
        <w:rPr>
          <w:rFonts w:ascii="Arial" w:cs="Arial" w:eastAsia="Arial" w:hAnsi="Arial"/>
          <w:sz w:val="15"/>
          <w:szCs w:val="15"/>
          <w:color w:val="auto"/>
        </w:rPr>
        <w:t>AbbVie's goal is to bring to market products that demonstrate strong clinical performance for patients and economic value for payors.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company's pipeline includes both small molecules and targeted biologic therapies, and a mix of new compounds and new indications. The company has more tha 20 compounds or indications in Phase II or III development individually and under collaboration or license agreements. From 2013 through 2016, AbbVie anticipates new product launches, including: AbbVie's interferon-free regimen for the treatment of HCV; a levodopa-carbidopa intestinal gel (LGIC) in the United States for advanced Parkinson's disease; elotuzumab, a humanized monoclonal antibody for the treatment of multiple myeloma; daclizumab, a monoclonal antibody for the treatment of multiple sclerosis; ABT-199, a next-generation bcl-2 inhibitor in development for chronic lymphocytic leukemia; and new indications for HUMIRA.</w:t>
      </w:r>
    </w:p>
    <w:p>
      <w:pPr>
        <w:spacing w:after="0" w:line="162" w:lineRule="exact"/>
        <w:rPr>
          <w:sz w:val="20"/>
          <w:szCs w:val="20"/>
          <w:color w:val="auto"/>
        </w:rPr>
      </w:pPr>
    </w:p>
    <w:p>
      <w:pPr>
        <w:ind w:left="240"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by HUMIRA and other leading products is expected to help drive growth in these markets.</w:t>
      </w:r>
    </w:p>
    <w:p>
      <w:pPr>
        <w:spacing w:after="0" w:line="170"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 that its approach will allow the company to maintain a strong operating margin on existing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05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4565" cy="700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AbbVie's Business and the Separation and Distribution</w:t>
      </w:r>
    </w:p>
    <w:p>
      <w:pPr>
        <w:spacing w:after="0" w:line="228" w:lineRule="exact"/>
        <w:rPr>
          <w:sz w:val="20"/>
          <w:szCs w:val="20"/>
          <w:color w:val="auto"/>
        </w:rPr>
      </w:pPr>
    </w:p>
    <w:p>
      <w:pPr>
        <w:ind w:left="240" w:right="340" w:firstLine="331"/>
        <w:spacing w:after="0" w:line="315" w:lineRule="auto"/>
        <w:rPr>
          <w:sz w:val="20"/>
          <w:szCs w:val="20"/>
          <w:color w:val="auto"/>
        </w:rPr>
      </w:pPr>
      <w:r>
        <w:rPr>
          <w:rFonts w:ascii="Arial" w:cs="Arial" w:eastAsia="Arial" w:hAnsi="Arial"/>
          <w:sz w:val="16"/>
          <w:szCs w:val="16"/>
          <w:color w:val="auto"/>
        </w:rPr>
        <w:t>An investment in AbbVie common stock is subject to a number of risks, including risks relating to the separation and distribution. The following list of risk factors is not exhaustive. Please read the information in the section captioned "Risk Factors" for a more thorough description of these and other risks.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AbbVie's Business</w:t>
      </w:r>
    </w:p>
    <w:p>
      <w:pPr>
        <w:spacing w:after="0" w:line="250" w:lineRule="exact"/>
        <w:rPr>
          <w:sz w:val="20"/>
          <w:szCs w:val="20"/>
          <w:color w:val="auto"/>
        </w:rPr>
      </w:pPr>
    </w:p>
    <w:p>
      <w:pPr>
        <w:ind w:left="1280" w:hanging="524"/>
        <w:spacing w:after="0"/>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expiration or loss of patent protection and licenses may adversely affect AbbVie's future revenues and operating income.</w:t>
      </w:r>
    </w:p>
    <w:p>
      <w:pPr>
        <w:spacing w:after="0" w:line="237" w:lineRule="exact"/>
        <w:rPr>
          <w:rFonts w:ascii="Arial" w:cs="Arial" w:eastAsia="Arial" w:hAnsi="Arial"/>
          <w:sz w:val="17"/>
          <w:szCs w:val="17"/>
          <w:color w:val="auto"/>
        </w:rPr>
      </w:pPr>
    </w:p>
    <w:p>
      <w:pPr>
        <w:ind w:left="1280" w:right="36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AbbVie's major products could lose patent protection earlier than expected, which could adversely affect AbbVie's future revenues and operating income.</w:t>
      </w:r>
    </w:p>
    <w:p>
      <w:pPr>
        <w:spacing w:after="0" w:line="18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 third party's intellectual property may prevent AbbVie from selling its products or have a material adverse effect on AbbVie's future profitability an financial condition.</w:t>
      </w:r>
    </w:p>
    <w:p>
      <w:pPr>
        <w:spacing w:after="0" w:line="196"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significant event that adversely affects HUMIRA revenues could have a material and negative impact on AbbVie's results of operations and cash flows.</w:t>
      </w:r>
    </w:p>
    <w:p>
      <w:pPr>
        <w:spacing w:after="0" w:line="182" w:lineRule="exact"/>
        <w:rPr>
          <w:rFonts w:ascii="Arial" w:cs="Arial" w:eastAsia="Arial" w:hAnsi="Arial"/>
          <w:sz w:val="17"/>
          <w:szCs w:val="17"/>
          <w:color w:val="auto"/>
        </w:rPr>
      </w:pPr>
    </w:p>
    <w:p>
      <w:pPr>
        <w:ind w:left="1280" w:right="14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AbbVie's research and development efforts may not succeed in developing commercially successful products and technologies, which may cause its revenues and profitability to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 portion of AbbVie's near-term pharmaceutical pipeline relies on collaborations with third parties, which may adversely affect the development and sale of its products.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AbbVie's business is dependent on the successful development and marketing of new products, which are subject to substantial risks.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AbbVie's biologic products may become subject to competition from biosimilars.</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Significant safety or efficacy issues could arise for AbbVie's products, which could have a material adverse effect on AbbVie's revenues and financial condition.</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AbbVie is subject to cost-containment efforts and pricing pressures that could cause a reduction in future revenues and operating income.</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 is subject to numerous governmental regulations, and it can be costly to comply with these regulations and to develop compliant products and processes.</w:t>
      </w:r>
    </w:p>
    <w:p>
      <w:pPr>
        <w:spacing w:after="0" w:line="182"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AbbVie's compliance with the obligations of the May 7, 2012 resolution of the Department of Justice's investigation into the sales and marketing activities for Depakote will impose costs and burdens on AbbVie.</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international nature of AbbVie's business subjects it to additional business risks that may cause its revenue and profitability to decline.</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the Separation and Distribution</w:t>
      </w:r>
    </w:p>
    <w:p>
      <w:pPr>
        <w:spacing w:after="0" w:line="237" w:lineRule="exact"/>
        <w:rPr>
          <w:sz w:val="20"/>
          <w:szCs w:val="20"/>
          <w:color w:val="auto"/>
        </w:rPr>
      </w:pPr>
    </w:p>
    <w:p>
      <w:pPr>
        <w:ind w:left="1280" w:hanging="524"/>
        <w:spacing w:after="0" w:line="352" w:lineRule="auto"/>
        <w:tabs>
          <w:tab w:leader="none" w:pos="128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36" w:lineRule="exact"/>
        <w:rPr>
          <w:rFonts w:ascii="Arial" w:cs="Arial" w:eastAsia="Arial" w:hAnsi="Arial"/>
          <w:sz w:val="15"/>
          <w:szCs w:val="15"/>
          <w:color w:val="auto"/>
        </w:rPr>
      </w:pPr>
    </w:p>
    <w:p>
      <w:pPr>
        <w:ind w:left="1280" w:hanging="524"/>
        <w:spacing w:after="0"/>
        <w:tabs>
          <w:tab w:leader="none" w:pos="12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AbbVie may not achieve some or all of the expected benefits of the separation, and the separation may adversely affect AbbVie's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Separation and Distribution</w:t>
      </w:r>
    </w:p>
    <w:p>
      <w:pPr>
        <w:spacing w:after="0" w:line="228" w:lineRule="exact"/>
        <w:rPr>
          <w:sz w:val="20"/>
          <w:szCs w:val="20"/>
          <w:color w:val="auto"/>
        </w:rPr>
      </w:pPr>
    </w:p>
    <w:p>
      <w:pPr>
        <w:ind w:left="240" w:right="60" w:firstLine="341"/>
        <w:spacing w:after="0" w:line="315"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from the remainder of its businesses, including its medical devices, nutritional products, diagnostics, and branded generic pharmaceuticals (sold outside the United States) businesses.</w:t>
      </w:r>
    </w:p>
    <w:p>
      <w:pPr>
        <w:sectPr>
          <w:pgSz w:w="11900" w:h="16838" w:orient="portrait"/>
          <w:cols w:equalWidth="0" w:num="1">
            <w:col w:w="11520"/>
          </w:cols>
          <w:pgMar w:left="240" w:top="131" w:right="13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hanging="184"/>
        <w:spacing w:after="0" w:line="282" w:lineRule="auto"/>
        <w:rPr>
          <w:sz w:val="20"/>
          <w:szCs w:val="20"/>
          <w:color w:val="auto"/>
        </w:rPr>
      </w:pPr>
      <w:r>
        <w:rPr>
          <w:rFonts w:ascii="Arial" w:cs="Arial" w:eastAsia="Arial" w:hAnsi="Arial"/>
          <w:sz w:val="17"/>
          <w:szCs w:val="17"/>
          <w:color w:val="auto"/>
        </w:rPr>
        <w:t>On</w:t>
      </w:r>
      <w:r>
        <w:rPr>
          <w:sz w:val="20"/>
          <w:szCs w:val="20"/>
          <w:color w:val="auto"/>
        </w:rPr>
        <w:t xml:space="preserve"> </w:t>
      </w:r>
      <w:r>
        <w:rPr>
          <w:rFonts w:ascii="Arial" w:cs="Arial" w:eastAsia="Arial" w:hAnsi="Arial"/>
          <w:sz w:val="17"/>
          <w:szCs w:val="17"/>
          <w:color w:val="auto"/>
        </w:rPr>
        <w:t>, 2012, the Abbott board of directors approved the distribution of all of AbbVie's issued and outstanding shares of common stock on the basis share[s] of AbbVie common stock for each Abbott common share held on , the record date.</w:t>
      </w:r>
    </w:p>
    <w:p>
      <w:pPr>
        <w:spacing w:after="0" w:line="170" w:lineRule="exact"/>
        <w:rPr>
          <w:sz w:val="20"/>
          <w:szCs w:val="20"/>
          <w:color w:val="auto"/>
        </w:rPr>
      </w:pPr>
    </w:p>
    <w:p>
      <w:pPr>
        <w:sectPr>
          <w:pgSz w:w="11900" w:h="16838" w:orient="portrait"/>
          <w:cols w:equalWidth="0" w:num="2">
            <w:col w:w="380" w:space="380"/>
            <w:col w:w="10760"/>
          </w:cols>
          <w:pgMar w:left="240" w:top="131" w:right="1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i w:val="1"/>
          <w:iCs w:val="1"/>
          <w:color w:val="auto"/>
        </w:rPr>
        <w:t>AbbVie's Post-Separation Relationship with Abbott</w:t>
      </w:r>
    </w:p>
    <w:p>
      <w:pPr>
        <w:spacing w:after="0" w:line="224" w:lineRule="exact"/>
        <w:rPr>
          <w:sz w:val="20"/>
          <w:szCs w:val="20"/>
          <w:color w:val="auto"/>
        </w:rPr>
      </w:pPr>
    </w:p>
    <w:p>
      <w:pPr>
        <w:ind w:left="240" w:firstLine="331"/>
        <w:spacing w:after="0" w:line="299" w:lineRule="auto"/>
        <w:rPr>
          <w:sz w:val="20"/>
          <w:szCs w:val="20"/>
          <w:color w:val="auto"/>
        </w:rPr>
      </w:pPr>
      <w:r>
        <w:rPr>
          <w:rFonts w:ascii="Arial" w:cs="Arial" w:eastAsia="Arial" w:hAnsi="Arial"/>
          <w:sz w:val="15"/>
          <w:szCs w:val="15"/>
          <w:color w:val="auto"/>
        </w:rPr>
        <w:t>AbbVie will enter into a separation and distribution agreement with Abbott, which we refer to in this information statement as the "separation agreement" or the "separation and distribution agreement." In connection with the separation, AbbVie will enter into various other agreements to effect the separation and provide a framework for its relationship with Abbott after the separation,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and a transitional trademark license agreement. These agreements will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and wi govern certain relationships between AbbVie and Abbott after the separation. For additional information regarding the separation agreement and other transaction agreements, see the sections entitled "Risk Factors—Risks Related to the Separation" and "Certain Relationships and Related Person Transactions."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Reasons for the Separation</w:t>
      </w:r>
    </w:p>
    <w:p>
      <w:pPr>
        <w:spacing w:after="0" w:line="224" w:lineRule="exact"/>
        <w:rPr>
          <w:sz w:val="20"/>
          <w:szCs w:val="20"/>
          <w:color w:val="auto"/>
        </w:rPr>
      </w:pPr>
    </w:p>
    <w:p>
      <w:pPr>
        <w:ind w:left="240" w:right="20" w:firstLine="338"/>
        <w:spacing w:after="0" w:line="282" w:lineRule="auto"/>
        <w:rPr>
          <w:sz w:val="20"/>
          <w:szCs w:val="20"/>
          <w:color w:val="auto"/>
        </w:rPr>
      </w:pPr>
      <w:r>
        <w:rPr>
          <w:rFonts w:ascii="Arial" w:cs="Arial" w:eastAsia="Arial" w:hAnsi="Arial"/>
          <w:sz w:val="17"/>
          <w:szCs w:val="17"/>
          <w:color w:val="auto"/>
        </w:rPr>
        <w:t>The Abbott board of directors believes that separating the research-based pharmaceuticals business from the remainder of Abbott is in the best interests of Abbo and its shareholders for a number of reasons, including that:</w:t>
      </w:r>
    </w:p>
    <w:p>
      <w:pPr>
        <w:spacing w:after="0" w:line="196" w:lineRule="exact"/>
        <w:rPr>
          <w:sz w:val="20"/>
          <w:szCs w:val="20"/>
          <w:color w:val="auto"/>
        </w:rPr>
      </w:pPr>
    </w:p>
    <w:p>
      <w:pPr>
        <w:ind w:left="1280" w:hanging="524"/>
        <w:spacing w:after="0" w:line="270" w:lineRule="auto"/>
        <w:tabs>
          <w:tab w:leader="none" w:pos="12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investment identities of Abbott and AbbVie have evolved independently over time. The separation will allow investors to separately value Abbott and AbbVie based on their unique investment identities, including the merits, performance and future prospects of their respective businesses. The separation will also provide investors with two distinct and targeted investment opportunities.</w:t>
      </w:r>
    </w:p>
    <w:p>
      <w:pPr>
        <w:spacing w:after="0" w:line="192" w:lineRule="exact"/>
        <w:rPr>
          <w:rFonts w:ascii="Arial" w:cs="Arial" w:eastAsia="Arial" w:hAnsi="Arial"/>
          <w:sz w:val="17"/>
          <w:szCs w:val="17"/>
          <w:color w:val="auto"/>
        </w:rPr>
      </w:pPr>
    </w:p>
    <w:p>
      <w:pPr>
        <w:ind w:left="1280" w:right="60" w:hanging="524"/>
        <w:spacing w:after="0" w:line="315" w:lineRule="auto"/>
        <w:tabs>
          <w:tab w:leader="none" w:pos="12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separation will allow each business to more effectively pursue its own distinct operating priorities and strategies, which have diverged over time, and will enable the management of both companies to pursue unique opportunities for long-term growth and profitability.</w:t>
      </w:r>
    </w:p>
    <w:p>
      <w:pPr>
        <w:spacing w:after="0" w:line="159" w:lineRule="exact"/>
        <w:rPr>
          <w:rFonts w:ascii="Arial" w:cs="Arial" w:eastAsia="Arial" w:hAnsi="Arial"/>
          <w:sz w:val="16"/>
          <w:szCs w:val="16"/>
          <w:color w:val="auto"/>
        </w:rPr>
      </w:pPr>
    </w:p>
    <w:p>
      <w:pPr>
        <w:ind w:left="1280" w:right="220" w:hanging="524"/>
        <w:spacing w:after="0" w:line="270" w:lineRule="auto"/>
        <w:tabs>
          <w:tab w:leader="none" w:pos="12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separation will permit each company to concentrate its financial resources solely on its own operations, providing greater flexibility to invest capital in its business in a time and manner appropriate for its distinct strategy and business needs. This will facilitate a more efficient allocation of capital.</w:t>
      </w:r>
    </w:p>
    <w:p>
      <w:pPr>
        <w:spacing w:after="0" w:line="205"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separation will create an independent equity structure that will afford AbbVie direct access to capital markets and facilitate the ability to capitalize on its unique growth opportunities and effect future acquisitions utilizing its common stock.</w:t>
      </w:r>
    </w:p>
    <w:p>
      <w:pPr>
        <w:spacing w:after="0" w:line="170" w:lineRule="exact"/>
        <w:rPr>
          <w:sz w:val="20"/>
          <w:szCs w:val="20"/>
          <w:color w:val="auto"/>
        </w:rPr>
      </w:pPr>
    </w:p>
    <w:p>
      <w:pPr>
        <w:ind w:left="240" w:right="160" w:firstLine="338"/>
        <w:spacing w:after="0" w:line="282" w:lineRule="auto"/>
        <w:rPr>
          <w:sz w:val="20"/>
          <w:szCs w:val="20"/>
          <w:color w:val="auto"/>
        </w:rPr>
      </w:pPr>
      <w:r>
        <w:rPr>
          <w:rFonts w:ascii="Arial" w:cs="Arial" w:eastAsia="Arial" w:hAnsi="Arial"/>
          <w:sz w:val="17"/>
          <w:szCs w:val="17"/>
          <w:color w:val="auto"/>
        </w:rPr>
        <w:t>The Abbott board of directors considered a number of potentially negative factors in evaluating the separation, including risks relating to the creation of a new public company, possible increased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109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4565"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and one-time separation costs, but concluded that the potential benefits of the separation outweighed these factors. For more information, see the sections entitled "Th Separation and Distribution—Reasons for the Separation" and "Risk Factors" included elsewhere in this information statement.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firstLine="331"/>
        <w:spacing w:after="0" w:line="265" w:lineRule="auto"/>
        <w:rPr>
          <w:sz w:val="20"/>
          <w:szCs w:val="20"/>
          <w:color w:val="auto"/>
        </w:rPr>
      </w:pPr>
      <w:r>
        <w:rPr>
          <w:rFonts w:ascii="Arial" w:cs="Arial" w:eastAsia="Arial" w:hAnsi="Arial"/>
          <w:sz w:val="17"/>
          <w:szCs w:val="17"/>
          <w:color w:val="auto"/>
        </w:rPr>
        <w:t>AbbVie Inc. was incorporated in Delaware on April 10, 2012 for the purpose of holding Abbott's research-based pharmaceuticals business in connection with the separation and distribution described herein. Prior to the contribution of this business to AbbVie, which will occur over a period of several months prior to the distribution, AbbVie will have no operations. The address of AbbVie's principal executive offices is 1 North Waukegan Road, North Chicago, Illinois 60064. AbbVie' telephone number is 847-932-7900.</w:t>
      </w:r>
    </w:p>
    <w:p>
      <w:pPr>
        <w:spacing w:after="0" w:line="185" w:lineRule="exact"/>
        <w:rPr>
          <w:sz w:val="20"/>
          <w:szCs w:val="20"/>
          <w:color w:val="auto"/>
        </w:rPr>
      </w:pPr>
    </w:p>
    <w:p>
      <w:pPr>
        <w:ind w:left="240" w:right="60" w:firstLine="331"/>
        <w:spacing w:after="0" w:line="282" w:lineRule="auto"/>
        <w:rPr>
          <w:sz w:val="20"/>
          <w:szCs w:val="20"/>
          <w:color w:val="auto"/>
        </w:rPr>
      </w:pPr>
      <w:r>
        <w:rPr>
          <w:rFonts w:ascii="Arial" w:cs="Arial" w:eastAsia="Arial" w:hAnsi="Arial"/>
          <w:sz w:val="17"/>
          <w:szCs w:val="17"/>
          <w:color w:val="auto"/>
        </w:rPr>
        <w:t>AbbVie also maintains an Internet site at .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 for Furnishing this Information Statement</w:t>
      </w:r>
    </w:p>
    <w:p>
      <w:pPr>
        <w:spacing w:after="0" w:line="228"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This information statement is being furnished solely to provide information to shareholders of Abbott who will receive shares of AbbVie common stock in the distribution. It is not and is not to be construed as an inducement or encouragement to buy or sell any of AbbVie's securities. The information contained in this information statement is believed by AbbVie to be accurate as of the date set forth on its cover. Changes may occur after that date and neither Abbott nor AbbVie will update the information except in the normal course of their respective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HISTORICAL AND UNAUDITED PRO FORMA</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COMBINED FINANCIAL INFORMATION</w:t>
      </w:r>
    </w:p>
    <w:p>
      <w:pPr>
        <w:spacing w:after="0" w:line="218"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following table sets forth summary historical financial information for the periods indicated below. The summary balance sheet data as of December 31, 2011 and 2010 and the summary statement of earnings data for the years ended December 31, 2011, 2010, and 2009 have been derived from AbbVie's audited combined financial statements which are included elsewhere in this information statement. The summary balance sheet data as of December 31, 2009 have been derived from AbbVie's unaudited combined financial statements that are not included in this information statement. The summary balance sheet data as of June 30, 2012 and the summary statement of earnings data for the six months ended June 30, 2012 and 2011 are derived from AbbVie's unaudited condensed interim financial statements which are included elsewhere in this information statement. The summary balance sheet data as of June 30, 2011 is derived from AbbVie's unaudited condensed interim financial statements which are not included in this information statement.</w:t>
      </w:r>
    </w:p>
    <w:p>
      <w:pPr>
        <w:spacing w:after="0" w:line="175"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summary financial information may not be indicative of AbbVie's future performance as an independent company. It should be read in conjunction with the discussion in "Management's Discussion and Analysis of Financial Condition and Results of Operations," the unaudited pro forma combined financial statements and corresponding notes, the audited combined financial statements and corresponding notes and the unaudited condensed interim combined financial statements and corresponding notes included elsewhere in this information statement.</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pro forma data for the periods ended June 30, 2012 and December 31, 2011 assume that the separation occurred as of January 1, 2011. The pro forma balance sheet assumes that the separation occurred as of June 30, 2012. The pro forma adjustments are based upon available information and assumptions that AbbVie believes are reasonable. The summary unaudited pro forma condensed financial information is for illustrative and informational purposes only and does not purport to represent what the financial position or results of operations would have been if AbbVie had operated as an independent company during the periods presented or if the transactions described therein had actually occurred as of the date indicated, nor does it project the financial position at any future date or the results of operations for any future period. Please see the notes to the unaudited pro forma combined financial statements included elsewhere in this information statement for a discussion of adjustments reflected in the pro forma combined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9"/>
          </w:tcPr>
          <w:p>
            <w:pPr>
              <w:jc w:val="center"/>
              <w:ind w:right="280"/>
              <w:spacing w:after="0"/>
              <w:rPr>
                <w:sz w:val="20"/>
                <w:szCs w:val="20"/>
                <w:color w:val="auto"/>
              </w:rPr>
            </w:pPr>
            <w:r>
              <w:rPr>
                <w:rFonts w:ascii="Arial" w:cs="Arial" w:eastAsia="Arial" w:hAnsi="Arial"/>
                <w:sz w:val="13"/>
                <w:szCs w:val="13"/>
                <w:b w:val="1"/>
                <w:bCs w:val="1"/>
                <w:color w:val="auto"/>
                <w:w w:val="92"/>
              </w:rPr>
              <w:t>For the Six Months Ended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3"/>
                <w:szCs w:val="13"/>
                <w:b w:val="1"/>
                <w:bCs w:val="1"/>
                <w:color w:val="auto"/>
              </w:rPr>
              <w:t>For the Years Ended December 31,</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2"/>
              </w:rPr>
              <w:t>Pro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2"/>
              </w:rPr>
              <w:t>Pro</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Forma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Forma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gridSpan w:val="13"/>
          </w:tcPr>
          <w:p>
            <w:pPr>
              <w:jc w:val="center"/>
              <w:ind w:right="240"/>
              <w:spacing w:after="0"/>
              <w:rPr>
                <w:sz w:val="20"/>
                <w:szCs w:val="20"/>
                <w:color w:val="auto"/>
              </w:rPr>
            </w:pPr>
            <w:r>
              <w:rPr>
                <w:rFonts w:ascii="Arial" w:cs="Arial" w:eastAsia="Arial" w:hAnsi="Arial"/>
                <w:sz w:val="13"/>
                <w:szCs w:val="13"/>
                <w:b w:val="1"/>
                <w:bCs w:val="1"/>
                <w:color w:val="auto"/>
                <w:w w:val="89"/>
              </w:rPr>
              <w:t>(dollars and shares in millions; except earnings per share amounts)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8,767</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8,666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17,639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17,444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15,638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14,214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Cost of products sold</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2,322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2,229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2,315</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4,847</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4,639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4,293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4,056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Acquired in-process research 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240" w:type="dxa"/>
            <w:vAlign w:val="bottom"/>
          </w:tcPr>
          <w:p>
            <w:pPr>
              <w:ind w:left="360"/>
              <w:spacing w:after="0"/>
              <w:rPr>
                <w:sz w:val="20"/>
                <w:szCs w:val="20"/>
                <w:color w:val="auto"/>
              </w:rPr>
            </w:pPr>
            <w:r>
              <w:rPr>
                <w:rFonts w:ascii="Arial" w:cs="Arial" w:eastAsia="Arial" w:hAnsi="Arial"/>
                <w:sz w:val="17"/>
                <w:szCs w:val="17"/>
                <w:color w:val="auto"/>
              </w:rPr>
              <w:t>development</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272</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449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foreign exchange loss (gain)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Taxes on earnings</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3,145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spacing w:after="0"/>
              <w:rPr>
                <w:sz w:val="20"/>
                <w:szCs w:val="20"/>
                <w:color w:val="auto"/>
              </w:rPr>
            </w:pPr>
            <w:r>
              <w:rPr>
                <w:rFonts w:ascii="Arial" w:cs="Arial" w:eastAsia="Arial" w:hAnsi="Arial"/>
                <w:sz w:val="17"/>
                <w:szCs w:val="17"/>
                <w:color w:val="auto"/>
              </w:rPr>
              <w:t>Earnings per common share:</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Average Number of Common Shares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8"/>
              </w:rPr>
              <w:t>As of June 30,</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2"/>
              </w:rPr>
              <w:t>Pro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6"/>
            <w:vMerge w:val="restart"/>
          </w:tcPr>
          <w:p>
            <w:pPr>
              <w:jc w:val="center"/>
              <w:ind w:left="318"/>
              <w:spacing w:after="0"/>
              <w:rPr>
                <w:sz w:val="20"/>
                <w:szCs w:val="20"/>
                <w:color w:val="auto"/>
              </w:rPr>
            </w:pPr>
            <w:r>
              <w:rPr>
                <w:rFonts w:ascii="Arial" w:cs="Arial" w:eastAsia="Arial" w:hAnsi="Arial"/>
                <w:sz w:val="13"/>
                <w:szCs w:val="13"/>
                <w:b w:val="1"/>
                <w:bCs w:val="1"/>
                <w:color w:val="auto"/>
                <w:w w:val="89"/>
              </w:rPr>
              <w:t>As of December 31,</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restart"/>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Forma</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gridSpan w:val="6"/>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5"/>
          </w:tcPr>
          <w:p>
            <w:pPr>
              <w:jc w:val="center"/>
              <w:ind w:left="298"/>
              <w:spacing w:after="0"/>
              <w:rPr>
                <w:sz w:val="20"/>
                <w:szCs w:val="20"/>
                <w:color w:val="auto"/>
              </w:rPr>
            </w:pPr>
            <w:r>
              <w:rPr>
                <w:rFonts w:ascii="Arial" w:cs="Arial" w:eastAsia="Arial" w:hAnsi="Arial"/>
                <w:sz w:val="13"/>
                <w:szCs w:val="13"/>
                <w:b w:val="1"/>
                <w:bCs w:val="1"/>
                <w:color w:val="auto"/>
                <w:w w:val="90"/>
              </w:rPr>
              <w:t>(dollars in millions)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Balance Sheet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25,448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17,710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21,351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19,657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21,135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15,858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information statement in evaluating AbbVie and AbbVie's common stock. Any of the following risks could materially and adversely affect AbbVie's results of operations or financial condition. The risk factors generally have been separated into three groups: risks related to AbbVie's business, risks related to the separation and risks related to AbbVie's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expiration or loss of patent protection and licenses may adversely affect AbbVie's future revenues and operating income.</w:t>
      </w:r>
    </w:p>
    <w:p>
      <w:pPr>
        <w:spacing w:after="0" w:line="224"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45"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As patents for certain of its products expire, AbbVie will or could face competition from lower priced generic products. The expiration or loss of patent protection for a product typically is followed promptly by substitutes that may significantly reduce sales for that product in a short amount of time. If AbbVie's competitive position is compromised because of generics or otherwise, it could have a material adverse effect on AbbVie's business and results of operations. In addition, proposals emerge from time to time for legislation to further encourage the early and rapid approval of generic drugs. Any such proposals that are enacted into law could worsen the effect of generic competition.</w:t>
      </w:r>
    </w:p>
    <w:p>
      <w:pPr>
        <w:spacing w:after="0" w:line="187"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AbbVie's principal patents and trademarks are described in greater detail in the sections captioned "Business—Intellectual Property Protection and Regulatory Exclusivity" and "Management's Discussion and Analysis of Financial Condition and Results of Operations—Results of Operations," and litigation regarding these patents is described in the section captioned "Business—Legal Proceedings." The U.S. composition of matter patent for HUMIRA, which is AbbVie's largest selling product and had worldwide sales of approximately $7.9 billion in 2011, is expected to expire in December 2016, and the equivalent European Union patent is expected to expire in the majority of EU countries in April 2018. Because HUMIRA is a biologic and biologics cannot be readily substituted, it is uncertain what impact the loss of patent protection would have on the sales of HUMIRA.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AbbVie's major products could lose patent protection earlier than expected, which could adversely affect AbbVie's future revenues and operating income.</w:t>
      </w:r>
    </w:p>
    <w:p>
      <w:pPr>
        <w:spacing w:after="0" w:line="247"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Third parties or government authorities may challenge or seek to invalidate or circumvent AbbVie's patents and patent applications. For example, manufacturers of generic pharmaceutical products file, and may continue to file, Abbreviated New Drug Applications (ANDAs) with the United States Food and Drug Administration (FDA) seeking to market generic forms of AbbVie's products prior to the expiration of relevant patents owned or licensed by AbbVie by asserting that the patents are invalid, unenforceable and/or not infringed. For example, certain companies have filed ANDAs seeking approval to market generic versions of fenofibric acid capsules (Trilipix) and niacin extended release tablets (Niaspan). These companies have asserted that the AbbVie patents covering these products are invalid, unenforceable, and/or not infringed by their respective products. AbbVie recently entered into settlement agreements resolving substantially all of these challenges. For a description of other material pending challenges, please refer to the "Business—Legal Proceedings" section of this information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Although most of the challenges to AbbVie's intellectual property have come from other businesses, governments may also challenge intellectual property protections.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7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normally responds to challenges by vigorously defending its patents, including by filing patent infringement lawsuits. Patent litigation and other challenges to AbbVie's patents are costly and unpredictable and may deprive AbbVie of market exclusivity for a patented product. To the extent AbbVie's intellectual property is successfully challenged or circumvented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income will be reduced.</w:t>
      </w:r>
    </w:p>
    <w:p>
      <w:pPr>
        <w:spacing w:after="0" w:line="18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 third party's intellectual property may prevent AbbVie from selling its products or have a material adverse effect on AbbVie's future profitability and financial condition.</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significant event that adversely affects HUMIRA revenues could have a material and negative impact on AbbVie's results of operations and cash flows.</w:t>
      </w:r>
    </w:p>
    <w:p>
      <w:pPr>
        <w:spacing w:after="0" w:line="24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HUMIRA generates approximately 45 percent of AbbVie's sales. Any significant event that adversely affects HUMIRA's revenues could have a material adverse impact on AbbVie's operations and cash flows. These events could include increased costs associated with manufacturing HUMIRA, loss of patent protection for HUMIRA, the approval of biosimilars of HUMIRA, the discovery of previously unknown side effects or impaired efficacy, increased competition from the introduction of new, more effective or less expensive treatments, and discontinuation or removal from the market of HUMIRA for any reason.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AbbVie's research and development efforts may not succeed in developing commercially successful products and technologies, which may cause its revenue and profitability to decline.</w:t>
      </w:r>
    </w:p>
    <w:p>
      <w:pPr>
        <w:spacing w:after="0" w:line="170"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sales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For example, in 2011 AbbVie discontinued the development of ABT-288 and ABT-384, which were both in Phase II development for the treatment of Alzheimer's disease. A high rate of failure is inherent in the research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new products, and failure can occur at any point in the research and development process, including after significant funds have been invested.</w:t>
      </w:r>
    </w:p>
    <w:p>
      <w:pPr>
        <w:spacing w:after="0" w:line="236"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w:t>
      </w:r>
    </w:p>
    <w:p>
      <w:pPr>
        <w:spacing w:after="0" w:line="169"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A portion of AbbVie's near-term pharmaceutical pipeline relies on collaborations with third parties, which may adversely affect the development and sale of its products.</w:t>
      </w:r>
    </w:p>
    <w:p>
      <w:pPr>
        <w:spacing w:after="0" w:line="170"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AbbVie depends on alliances with pharmaceuticals and biotechnology companies for a portion of the products in its near-term pharmaceutical pipeline. For example, AbbVie is collaborating with Biogen Idec to develop a treatment for the relapsing remitting form of MS and with Reata Pharmaceuticals on a treatment for chronic kidney disease. It is also collaborating with Bristol-Myers Squibb on a treatment for multiple myeloma, and with Biotest AG on a compound for rheumatoid arthritis and psoriasis.</w:t>
      </w:r>
    </w:p>
    <w:p>
      <w:pPr>
        <w:spacing w:after="0" w:line="185"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or arbitration.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business is dependent on the successful development and marketing of new products, which are subject to substantial risks.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 Even if AbbVie successfully develops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w:t>
      </w:r>
    </w:p>
    <w:p>
      <w:pPr>
        <w:spacing w:after="0" w:line="190" w:lineRule="exact"/>
        <w:rPr>
          <w:sz w:val="20"/>
          <w:szCs w:val="20"/>
          <w:color w:val="auto"/>
        </w:rPr>
      </w:pPr>
    </w:p>
    <w:p>
      <w:pPr>
        <w:ind w:right="120" w:firstLine="332"/>
        <w:spacing w:after="0" w:line="294" w:lineRule="auto"/>
        <w:rPr>
          <w:sz w:val="20"/>
          <w:szCs w:val="20"/>
          <w:color w:val="auto"/>
        </w:rPr>
      </w:pPr>
      <w:r>
        <w:rPr>
          <w:rFonts w:ascii="Arial" w:cs="Arial" w:eastAsia="Arial" w:hAnsi="Arial"/>
          <w:sz w:val="16"/>
          <w:szCs w:val="16"/>
          <w:color w:val="auto"/>
        </w:rPr>
        <w:t>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Biologics carry unique risks and uncertainties, which could have a negative impact on future results of operations.</w:t>
      </w:r>
    </w:p>
    <w:p>
      <w:pPr>
        <w:spacing w:after="0" w:line="224"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products and technological advances by AbbVie's competitors may negatively affect AbbVie's results of operations.</w:t>
      </w:r>
    </w:p>
    <w:p>
      <w:pPr>
        <w:spacing w:after="0" w:line="224"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These competitors may introduce new products or develop technological advances that compete with AbbVie's products in therapeutic areas such as immunology, virology, renal disease, dyslipidemia,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biologic products may become subject to competition from biosimilars.</w:t>
      </w:r>
    </w:p>
    <w:p>
      <w:pPr>
        <w:spacing w:after="0" w:line="224"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Biologics Price Competition and Innovation Act was passed on March 23, 2010 as Title VII to the Patient Protection and Affordable Care Act. The law created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compete with AbbVie's biologic products. If competitors are able to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with respect to the validity and/or scope of patents relating to its biologic products.</w:t>
      </w:r>
    </w:p>
    <w:p>
      <w:pPr>
        <w:spacing w:after="0" w:line="177" w:lineRule="exact"/>
        <w:rPr>
          <w:sz w:val="20"/>
          <w:szCs w:val="20"/>
          <w:color w:val="auto"/>
        </w:rPr>
      </w:pPr>
    </w:p>
    <w:p>
      <w:pPr>
        <w:ind w:right="1020"/>
        <w:spacing w:after="0" w:line="282" w:lineRule="auto"/>
        <w:rPr>
          <w:sz w:val="20"/>
          <w:szCs w:val="20"/>
          <w:color w:val="auto"/>
        </w:rPr>
      </w:pPr>
      <w:r>
        <w:rPr>
          <w:rFonts w:ascii="Arial" w:cs="Arial" w:eastAsia="Arial" w:hAnsi="Arial"/>
          <w:sz w:val="17"/>
          <w:szCs w:val="17"/>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AbbVie relies on single sources of supply for certain products and services, and an interruption in the supply of those products and services could adversely affect AbbVie's business and results of operations.</w:t>
      </w:r>
    </w:p>
    <w:p>
      <w:pPr>
        <w:spacing w:after="0" w:line="170"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AbbVie has a single source of supply for certain products and services. For example, the filling and packaging of HUMIRA syringes to be sold outside of the United States and Puerto Rico is performed by a single supplier at its two different facilities. AbbVie maintains significant inventory of HUMIRA syringes intended to reduce the risk of supply disruption and is in the process of obtaining regulatory approvals for its own syringe-filling and packaging facility in the United States to supply syringes outside of the United States and Puerto Rico. AbbVie also uses a number of products in the manufacturing process for HUMIRA that are currently sourced from single suppliers. AbbVie believes alternative sources for all products used in the manufacturing process for HUMIRA are currently available.</w:t>
      </w:r>
    </w:p>
    <w:p>
      <w:pPr>
        <w:spacing w:after="0" w:line="15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failure of a single-source supplier to fulfill its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services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safety or efficacy issues could arise for AbbVie's products, which could have a material adverse effect on AbbVie's revenues and financial condition.</w:t>
      </w:r>
    </w:p>
    <w:p>
      <w:pPr>
        <w:spacing w:after="0" w:line="259"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In addition, due to various product withdrawals and other significant safety issues related to pharmaceutical products, the amount of time to obtain regulatory approval has increased industrywide and some health authorities are re-reviewing select products that are already marketed.</w:t>
      </w:r>
    </w:p>
    <w:p>
      <w:pPr>
        <w:spacing w:after="0" w:line="16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If new safety or efficacy issues are reported or if new scientific information becomes available (including results of post-marketing Phase IV trials), or if there are changes in government standards regarding safety, efficacy or labeling, AbbVie may be required to amend the conditions of use for a product. The FDA has authority, based on such new clinical or scientific information, to require post-marketing studies, clinical trials and labeling changes and compliance with FDA-approved risk evaluation and mitigation strategies. The FDA's exercise of this authority could result in delays or increased costs during product development, clinical trials and regulatory review, increased costs to comply with additional post-approval regulatory requirements and potential restrictions on marketing of approved products. Regulatory agencies outside of the United States often have similar authority.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New safety data may emerge from adverse event reports, post-marketing studies, whether conducted by AbbVie or by others and whether mandated by regulatory agencies or voluntary, and other sources and may adversely affect sales of AbbVie's products. For example, AbbVie may voluntarily provide or be required to provide updated information on a product's label or narrow its approved indication, either of which could reduce the product's market acceptance. If serious safety or efficacy issues with an AbbVie product arise, sales of the product could be halted by AbbVie or by regulatory authorities. Safety or efficacy issues affecting suppliers' or competitors' products also may reduce the market acceptance of AbbVie's products.</w:t>
      </w:r>
    </w:p>
    <w:p>
      <w:pPr>
        <w:spacing w:after="0" w:line="17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product liability claims and lawsuits that may adversely affect its business and results of operations.</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and reputation and on its ability to attract and retain customers. Consequences may also include additional costs, a decrease in market share for the products, lower income and exposure to other claims. Product liability losses are self-insured. Product liability claims could have a material adverse effect on AbbVie's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cost-containment efforts and pricing pressures that could cause a reduction in future revenues and operating income.</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Cost-containment efforts by governments and private organizations are described in greater detail in the section captioned "Business—Regulation— Commercialization, Distribution and Manufacturing." To the extent these cost containment efforts are not offset by greater demand, increased patient access to health care, or other factors, AbbVie's future revenues and operating income will be reduced. In the United States, the European Union and other countries, AbbVie's business has experienced downward pressure on product pricing, and this pressure could increase in the future.</w:t>
      </w:r>
    </w:p>
    <w:p>
      <w:pPr>
        <w:spacing w:after="0" w:line="16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the United States, practices of managed care groups and institutional and governmental purchasers and U.S. federal laws and regulations related to Medicare and Medicaid, including the Medicare Prescription Drug Improvement and Modernization Act of 2003 and the Patient Protection and Affordable Care Act, contribute to pricing pressures. Recently enacted changes to the health care system in the United States and the increased purchasing power of entities that negotiate on behalf of Medicare, Medicaid, and private sector beneficiaries could result in additional pricing pressures.</w:t>
      </w:r>
    </w:p>
    <w:p>
      <w:pPr>
        <w:spacing w:after="0" w:line="16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numerous major markets worldwide, the government plays a significant role in funding health care services and determining the pricing and reimbursement of pharmaceutical products. Consequently, in those markets, AbbVie is subject to government decision making and budgetary actions with respect to its products. In particular, there were government-mandated price reductions for many pharmaceutical products in many European countries in 2010 and 2011, and AbbVie anticipates continuing pricing pressures in Europe. Differences between countries in pricing regulations could lead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third-party cross-border trading in AbbVie's products that results in a reduction in future revenues and operating income.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AbbVie is subject to numerous governmental regulations, and it can be costly to comply with these regulations and to develop compliant products and processes.</w:t>
      </w:r>
    </w:p>
    <w:p>
      <w:pPr>
        <w:spacing w:after="0" w:line="259"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AbbVie's products are subject to rigorous regulation by numerous international, supranational, federal, and state authorities, as described in the section titled "Business—Regulation—Discovery and Clinical Development." The process of obtaining regulatory approvals to market a pharmaceutical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87"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Many of AbbVie's facilities and procedures and those of its suppliers also are subject to ongoing regulation, including periodic inspection by regulatory authorities. AbbVie must incur expense and spend time and effort to ensure compliance with these complex regulations.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Possible regulatory actions in the event of non-compliance could include warning letters, fines, damages, injunctions, civil penalties, recalls, seizures of AbbVie's products, and criminal prosecution. These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and regulations may adversely affect AbbVie's business.</w:t>
      </w:r>
    </w:p>
    <w:p>
      <w:pPr>
        <w:spacing w:after="0" w:line="224"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As described above, the development, manufacture, marketing, sale, promotion, and distribution of AbbVie's products are subject to comprehensive government regulation. Changes in these regulations could affect AbbVie in various ways. For example, under the Patient Protection and Affordable Care Act and the Health Care and Education Reconciliation Act of 2010, AbbVie pays a fee related to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pharmaceuticals sales to government programs and, beginning in 2013, must record and report any transfers of value to physicians and teaching hospitals. Similar reporting requirements have been enacted on a state level in the United States and within the European Union and an increasing number of countries worldwide have adopted or are considering similar laws. Future legislation and regulation in the markets that AbbVie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Such legislation and regulation could adversely affect AbbVie's business, results of operations, cash flow, financial condition and prospects.</w:t>
      </w:r>
    </w:p>
    <w:p>
      <w:pPr>
        <w:spacing w:after="0" w:line="18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i w:val="1"/>
          <w:iCs w:val="1"/>
          <w:color w:val="auto"/>
        </w:rPr>
        <w:t>AbbVie could be subject to increased monetary penalties and/or other sanctions, including exclusion from federal health care programs, if it fails to comply with the terms of the May 7, 2012 resolution of the Department of Justice's investigation into sales and marketing activities for Depakote.</w:t>
      </w:r>
    </w:p>
    <w:p>
      <w:pPr>
        <w:spacing w:after="0" w:line="146"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On May 7, 2012, Abbott settled U.S. federal and 49 state investigations into its sales and marketing activities for Depakote by pleading guilty to a misdemeanor violation of the Food Drug &amp; Cosmetic Act (FDCA) and agreeing to pay approximately $700 million in criminal fines and forfeitures and approximately $900 million to resolve civil claims. A non-cash charge related to these investigations was previously recorded, as discussed in "Management's Discussion and Analysis of Financial Condition and Results of Operations." Under the plea agreement, Abbott submitted to a term of probation that is initially set at 5 years, and will be shortened to 3 years upon the separation of Abbott and AbbVie. The obligations of the plea agreement transfer to and become fully binding on AbbVie upon the separation and distribution. The conditions of probation include certain reporting requirements, maintenance of certain compliance measures, certifications of AbbVie's CEO and board of directors, and other conditions. If AbbVie violates the terms of its probation, it may face additional monetary sanctions and other such remedies as the court deems appropriate. On October 2, 2012, the court accepted the guilty plea and imposed the agreed-upon sentence.</w:t>
      </w:r>
    </w:p>
    <w:p>
      <w:pPr>
        <w:spacing w:after="0" w:line="163" w:lineRule="exact"/>
        <w:rPr>
          <w:sz w:val="20"/>
          <w:szCs w:val="20"/>
          <w:color w:val="auto"/>
        </w:rPr>
      </w:pPr>
    </w:p>
    <w:p>
      <w:pPr>
        <w:ind w:right="140" w:firstLine="341"/>
        <w:spacing w:after="0" w:line="281" w:lineRule="auto"/>
        <w:rPr>
          <w:sz w:val="20"/>
          <w:szCs w:val="20"/>
          <w:color w:val="auto"/>
        </w:rPr>
      </w:pPr>
      <w:r>
        <w:rPr>
          <w:rFonts w:ascii="Arial" w:cs="Arial" w:eastAsia="Arial" w:hAnsi="Arial"/>
          <w:sz w:val="16"/>
          <w:szCs w:val="16"/>
          <w:color w:val="auto"/>
        </w:rPr>
        <w:t>In addition, Abbott entered into a five-year Corporate Integrity Agreement (CIA) with the Office of Inspector General for the U.S. Department of Health and Human Services (OIG). The effective date of the CIA is October 11, 2012. The obligations of the CIA transfer to and become fully binding on AbbVie upon the separation and distribution. The CIA requires enhancements to compliance procedures, fulfillment of reporting and monitoring obligations, and certifications from AbbVie's board of directors, among other requirements. If AbbVie fails to comply with the CIA, the OIG may impose monetary penalties or exclude AbbVie from federal health care programs, including Medicare and Medicaid. AbbVie and Abbott may be subject to third party claims and shareholder lawsuits in connection with the settlement, and AbbVie may be required to indemnify all or a portion of Abbott's costs.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b w:val="1"/>
          <w:bCs w:val="1"/>
          <w:i w:val="1"/>
          <w:iCs w:val="1"/>
          <w:color w:val="auto"/>
        </w:rPr>
        <w:t>AbbVie's compliance with the obligations of the May 7, 2012 resolution of the Department of Justice's investigation into the sales and marketing activities for Depakote will impose costs and burdens on AbbVie.</w:t>
      </w:r>
    </w:p>
    <w:p>
      <w:pPr>
        <w:spacing w:after="0" w:line="170" w:lineRule="exact"/>
        <w:rPr>
          <w:sz w:val="20"/>
          <w:szCs w:val="20"/>
          <w:color w:val="auto"/>
        </w:rPr>
      </w:pPr>
    </w:p>
    <w:p>
      <w:pPr>
        <w:ind w:right="120" w:firstLine="341"/>
        <w:spacing w:after="0" w:line="262" w:lineRule="auto"/>
        <w:rPr>
          <w:sz w:val="20"/>
          <w:szCs w:val="20"/>
          <w:color w:val="auto"/>
        </w:rPr>
      </w:pPr>
      <w:r>
        <w:rPr>
          <w:rFonts w:ascii="Arial" w:cs="Arial" w:eastAsia="Arial" w:hAnsi="Arial"/>
          <w:sz w:val="17"/>
          <w:szCs w:val="17"/>
          <w:color w:val="auto"/>
        </w:rPr>
        <w:t>On May 7, 2012 Abbott Laboratories settled U.S. federal and 49 state investigations into its sales and marketing activities for Depakote by pleading guilty to a misdemeanor violation of the FDCA, agreeing to pay criminal fines, forfeitures, and civil damages, and submitting to a term of probation. On October 2, 2012, the court accepted the guilty plea and imposed the agreed-upon sentence. In addition, Abbott entered into a five-year CIA with the OIG, effective as of October 11, 2012. The obligations of the plea agreement and the CIA transfer to and become fully binding on AbbVie upon the separation and distribution. Compliance with the requirements of the settlement will impose additional costs and burdens on AbbVie, including in the form of employee training, third party reviews, compliance monitoring, and management attention.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AbbVie's business subjects it to additional business risks that may cause its revenue and profitability to decline.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business is subject to risks associated with doing business internationally. Sales outside of the United States make up approximately 45 percent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AbbVie's net sales. The risks associated with its operations outside the United States include:</w:t>
      </w:r>
    </w:p>
    <w:p>
      <w:pPr>
        <w:spacing w:after="0" w:line="231" w:lineRule="exact"/>
        <w:rPr>
          <w:sz w:val="20"/>
          <w:szCs w:val="20"/>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changes in medical reimbursement policies and programs;</w:t>
      </w:r>
    </w:p>
    <w:p>
      <w:pPr>
        <w:spacing w:after="0" w:line="237"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multiple legal and regulatory requirements that are subject to change and that could restrict AbbVie's ability to manufacture, market, and sell its products;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differing local product preferences and product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trade protection measures and import or export licensing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difficulty in establishing, staffing, and managing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differing labor regulations;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potentially negative consequences from changes in or interpretations of tax laws;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political and economic instability, including sovereign debt issues;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price and currency exchange controls, limitations on participation in local enterprises, expropriation, nationalization, and other governmental action;</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inflation, recession and fluctuations in interest rates;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compulsory licensing or diminished protection of intellectual property; and</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potential penalties or other adverse consequences for violations of anti-corruption, anti-bribery and other similar laws and regulations, including the Foreign Corrupt Practices Act and the U.K. Bribery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Events contemplated by these risks may, individually or in the aggregate, have a material adverse effect on AbbVie's revenues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deterioration in the economic position and credit quality of certain European countries may negatively affect AbbVie's results of operations.</w:t>
      </w:r>
    </w:p>
    <w:p>
      <w:pPr>
        <w:spacing w:after="0" w:line="23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Financial instability and fiscal deficits in certain European countries, including Greece, Italy, Portugal, and Spain, may result in additional austerity measures to reduce costs, including health care costs. If economic conditions continue to worsen, this could result in lengthening the time or reducing the collectability of AbbVie's outstanding trade receivables and increasing government efforts to reduce health care spending, leading to reductions in drug prices and utilization of AbbVie's products. Ongoing sovereign debt issues in these countries could increase AbbVie's collection risk given that a significant amount of AbbVie's receivables in these countries are with governmental health care systems.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realize the expected benefits of its investments in emerging markets.</w:t>
      </w:r>
    </w:p>
    <w:p>
      <w:pPr>
        <w:spacing w:after="0" w:line="224"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seeks to make investments in key emerging markets, including Brazil, China, India, Mexico, Russia, and Turkey, but cannot guarantee that its efforts to expand sales in these markets will succeed. Some emerging markets may be especially vulnerable to periods of financial instability or may have very limited resources to spend on health care. For AbbVie to successfully implement its emerging markets strategy, AbbVie must attract and retain qualified personnel or may be required to increase its reliance on third-party distributors within certain emerging markets. Many of these countries have currencies that fluctuate substantially; if such currencies devalue and AbbVie cannot offset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devaluations, its financial performance within such countries could be adversely affected. In addition, price and currency exchange controls, limitations on participation in local enterprises, expropriation, nationalization, and other governmental actions could affect AbbVie's business and results of operations in emerging markets.</w:t>
      </w:r>
    </w:p>
    <w:p>
      <w:pPr>
        <w:spacing w:after="0" w:line="179"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70" w:lineRule="exact"/>
        <w:rPr>
          <w:sz w:val="20"/>
          <w:szCs w:val="20"/>
          <w:color w:val="auto"/>
        </w:rPr>
      </w:pPr>
    </w:p>
    <w:p>
      <w:pPr>
        <w:ind w:right="80" w:firstLine="332"/>
        <w:spacing w:after="0" w:line="280" w:lineRule="auto"/>
        <w:rPr>
          <w:sz w:val="20"/>
          <w:szCs w:val="20"/>
          <w:color w:val="auto"/>
        </w:rPr>
      </w:pPr>
      <w:r>
        <w:rPr>
          <w:rFonts w:ascii="Arial" w:cs="Arial" w:eastAsia="Arial" w:hAnsi="Arial"/>
          <w:sz w:val="16"/>
          <w:szCs w:val="16"/>
          <w:color w:val="auto"/>
        </w:rPr>
        <w:t>AbbVie may pursue acquisitions,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7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17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70"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In 2011, three wholesale distributors—AmerisourceBergen Corporation, Cardinal Health, Inc. and McKesson Corporation—accounted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Changes in the terms of rebate and chargeback programs, which are common in the pharmaceuticals industry, could have a material adverse effect on AbbVie's operations.</w:t>
      </w:r>
    </w:p>
    <w:p>
      <w:pPr>
        <w:spacing w:after="0" w:line="170"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Approximately 67% of AbbVie's gross revenues are subject to various forms of rebates and allowances. 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evolving and complex tax laws, which may result in additional liabilities that may affect results of operations.</w:t>
      </w:r>
    </w:p>
    <w:p>
      <w:pPr>
        <w:spacing w:after="0" w:line="224"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AbbVie is subject to evolving and complex tax laws in the jurisdictions in which it operates. Significant judgment is required for determining AbbVie's tax liabilities, and AbbVie's tax returns will be periodically examined by various tax authorities. Although Abbott will retain the risk for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contingencies arising from operations pre-separation, AbbVie will have risks for future tax contingencies arising from operations post-separation. Due to the complexity of tax contingencies, the ultimate resolution of any tax matters related to operations post-separation may result in payments greater or less than amounts accrued.</w:t>
      </w:r>
    </w:p>
    <w:p>
      <w:pPr>
        <w:spacing w:after="0" w:line="179"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In addition, AbbVie may be impacted by changes in tax laws, including tax rate changes, changes to the laws related to the treatment and remittance of foreign earnings, new tax laws, and subsequent interpretations of tax law in the United States and other jurisdictions.</w:t>
      </w:r>
    </w:p>
    <w:p>
      <w:pPr>
        <w:spacing w:after="0" w:line="17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b w:val="1"/>
          <w:bCs w:val="1"/>
          <w:i w:val="1"/>
          <w:iCs w:val="1"/>
          <w:color w:val="auto"/>
        </w:rPr>
        <w:t>The investment of AbbVie's cash balance and investments in marketable securities are subject to risks that may cause losses and affect the liquidity of these investments.</w:t>
      </w:r>
    </w:p>
    <w:p>
      <w:pPr>
        <w:spacing w:after="0" w:line="170" w:lineRule="exact"/>
        <w:rPr>
          <w:sz w:val="20"/>
          <w:szCs w:val="20"/>
          <w:color w:val="auto"/>
        </w:rPr>
      </w:pPr>
    </w:p>
    <w:p>
      <w:pPr>
        <w:ind w:right="140" w:firstLine="332"/>
        <w:spacing w:after="0" w:line="283" w:lineRule="auto"/>
        <w:rPr>
          <w:sz w:val="20"/>
          <w:szCs w:val="20"/>
          <w:color w:val="auto"/>
        </w:rPr>
      </w:pPr>
      <w:r>
        <w:rPr>
          <w:rFonts w:ascii="Arial" w:cs="Arial" w:eastAsia="Arial" w:hAnsi="Arial"/>
          <w:sz w:val="16"/>
          <w:szCs w:val="16"/>
          <w:color w:val="auto"/>
        </w:rPr>
        <w:t>AbbVie expects to invest its cash balance in a portfolio of short-term investments, primarily securities of the U.S. federal government and its agencies, U.S. corporate debt securities, U.S. and foreign commercial paper, and certificates of deposit at major banks. These investments will be subject to credit, liquidity, market, and interest rate risks. If such investments suffer market price declines, AbbVie may recognize in its earnings the decline in the fair value of these investments below their cost basis when the decline is judged to be other than temporary. The risks associated with AbbVie's expected cash balance and investment portfolio may have a material adverse effect on AbbVie's results of operations and financial condition.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AbbVie may need additional financing in the future to meet its capital needs or to make opportunistic acquisitions, and such financing may not be available on favorable terms, if at all, and may be dilutive to existing stockholders.</w:t>
      </w:r>
    </w:p>
    <w:p>
      <w:pPr>
        <w:spacing w:after="0" w:line="170"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fails to obtain or loses an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through the issuance of equity securities, its stockholders will experience dilution of their ownership interest. If AbbVie raises additional funds by issuing debt, it may be subject to limitations on its operations due to restrictive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depends on information technology and a failure of those systems could adversely affect AbbVie's business.</w:t>
      </w:r>
    </w:p>
    <w:p>
      <w:pPr>
        <w:spacing w:after="0" w:line="22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relies on sophisticated information technology systems to operate its business. These systems are potentially vulnerable to malicious intrusion, random attack, or breakdown.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factors can have a material adverse effect on AbbVie's profitability and financial condition.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Many other factors can affect AbbVie's profitability and financial condition, including:</w:t>
      </w:r>
    </w:p>
    <w:p>
      <w:pPr>
        <w:spacing w:after="0" w:line="237" w:lineRule="exact"/>
        <w:rPr>
          <w:sz w:val="20"/>
          <w:szCs w:val="20"/>
          <w:color w:val="auto"/>
        </w:rPr>
      </w:pPr>
    </w:p>
    <w:p>
      <w:pPr>
        <w:ind w:left="1060" w:right="120" w:hanging="531"/>
        <w:spacing w:after="0" w:line="282" w:lineRule="auto"/>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changes in or interpretations of laws and regulations, including changes in accounting standards, taxation requirements, product marketing application standards, and environmental laws;</w:t>
      </w:r>
    </w:p>
    <w:p>
      <w:pPr>
        <w:spacing w:after="0" w:line="196"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differences between the fair value measurement of assets and liabilities and their actual value, particularly for pensions, retiree health care, stock compensation, intangibles, and goodwill; and for contingent liabilities such as litigation, the absence of a recorded amount, or an amount recorded at the minimum, compared to the actual amount;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20" w:hanging="531"/>
        <w:spacing w:after="0" w:line="282" w:lineRule="auto"/>
        <w:tabs>
          <w:tab w:leader="none" w:pos="10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changes in the creditworthiness of counterparties that transact business with or provide services to AbbVie or its employee benefit trusts; and</w:t>
      </w:r>
    </w:p>
    <w:p>
      <w:pPr>
        <w:spacing w:after="0" w:line="248" w:lineRule="exact"/>
        <w:rPr>
          <w:rFonts w:ascii="Arial" w:cs="Arial" w:eastAsia="Arial" w:hAnsi="Arial"/>
          <w:sz w:val="16"/>
          <w:szCs w:val="16"/>
          <w:color w:val="auto"/>
        </w:rPr>
      </w:pPr>
    </w:p>
    <w:p>
      <w:pPr>
        <w:ind w:left="1060" w:hanging="531"/>
        <w:spacing w:after="0" w:line="270" w:lineRule="auto"/>
        <w:tabs>
          <w:tab w:leader="none" w:pos="10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Separation</w:t>
      </w:r>
    </w:p>
    <w:p>
      <w:pPr>
        <w:spacing w:after="0" w:line="228" w:lineRule="exact"/>
        <w:rPr>
          <w:sz w:val="20"/>
          <w:szCs w:val="20"/>
          <w:color w:val="auto"/>
        </w:rPr>
      </w:pPr>
    </w:p>
    <w:p>
      <w:pPr>
        <w:ind w:right="100"/>
        <w:spacing w:after="0" w:line="352" w:lineRule="auto"/>
        <w:rPr>
          <w:sz w:val="20"/>
          <w:szCs w:val="20"/>
          <w:color w:val="auto"/>
        </w:rPr>
      </w:pPr>
      <w:r>
        <w:rPr>
          <w:rFonts w:ascii="Arial" w:cs="Arial" w:eastAsia="Arial" w:hAnsi="Arial"/>
          <w:sz w:val="15"/>
          <w:szCs w:val="15"/>
          <w:b w:val="1"/>
          <w:bCs w:val="1"/>
          <w:i w:val="1"/>
          <w:iCs w:val="1"/>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2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historical information about AbbVie in this information statement refers to AbbVie's business as operated by and integrated with Abbott. AbbVie's historical and pro forma financial information included in this information statement is derived from the consolidated financial statements and accounting records of Abbott. Accordingly, the historical and pro forma financial information included in this information statement does not necessarily reflect the financial condition, results of operations or cash flows that AbbVie would have achieved as a separate, publicly traded company during the periods presented or those that AbbVie will achieve in the future primarily as a result of the factors described below:</w:t>
      </w:r>
    </w:p>
    <w:p>
      <w:pPr>
        <w:spacing w:after="0" w:line="201" w:lineRule="exact"/>
        <w:rPr>
          <w:sz w:val="20"/>
          <w:szCs w:val="20"/>
          <w:color w:val="auto"/>
        </w:rPr>
      </w:pPr>
    </w:p>
    <w:p>
      <w:pPr>
        <w:ind w:left="1060" w:right="40" w:hanging="531"/>
        <w:spacing w:after="0" w:line="278" w:lineRule="auto"/>
        <w:tabs>
          <w:tab w:leader="none" w:pos="10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Prior to the separation, AbbVie's business was operated by Abbott as part of its broader corporate organization, rather than as an independent company. Abbott or one of its affiliates performed various corporate functions for AbbVie, such as accounting, information technology, and finance. Following the separation, Abbott will provide some of these functions to AbbVie, as described in "Certain Relationships and Related Person Transactions." AbbVie's historical and pro forma financial results reflect allocations of corporate expenses from Abbott for such functions and are likely to be less than the expenses AbbVie would have incurred had it operated as a separate publicly traded company. AbbVie will need to make significant investments to replicate or outsource from other providers certain facilities, systems, infrastructure, and personnel to which AbbVie will no longer have access after its separation from Abbott. These initiatives to develop AbbVie's independent ability to operate without access to Abbott's existing operational and administrative infrastructure will be costly to implement. AbbVie may not be able to operate its business efficiently or at comparable costs, and its profitability may decline;</w:t>
      </w:r>
    </w:p>
    <w:p>
      <w:pPr>
        <w:spacing w:after="0" w:line="205" w:lineRule="exact"/>
        <w:rPr>
          <w:rFonts w:ascii="Arial" w:cs="Arial" w:eastAsia="Arial" w:hAnsi="Arial"/>
          <w:sz w:val="16"/>
          <w:szCs w:val="16"/>
          <w:color w:val="auto"/>
        </w:rPr>
      </w:pPr>
    </w:p>
    <w:p>
      <w:pPr>
        <w:ind w:left="1060" w:right="20" w:hanging="531"/>
        <w:spacing w:after="0" w:line="261" w:lineRule="auto"/>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Currently, AbbVie's business is integrated with the other businesses of Abbott. AbbVie is able to use Abbott's size and purchasing power in procuring various goods and services and has shared economies of scope and scale in costs, employees, vendor relationships and customer relationships. Although AbbVie will enter into transition agreements with Abbott, these arrangements may not fully capture the benefits AbbVie has enjoyed as a result of being integrated with Abbott and may result in AbbVie paying higher charges than in the past for these services. As a separate, independent company, AbbVie may be unable to obtain goods and services at the prices and terms obtained prior to the separation, which could decrease AbbVie's overall profitability. As a separate, independent company, AbbVie may also not be as successful in negotiating favorable tax treatments and credits with governmental entities. This could have an adverse effect on AbbVie's results of operations and financial condition following the completion of the separation;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65" w:lineRule="auto"/>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Generally, AbbVie's working capital requirements and capital for its general corporate purposes, including acquisitions, research and development and capital expenditures, have historically been satisfied as part of the corporate-wide cash management policies of Abbott. Following the completion of the separation, AbbVie may need to obtain additional financing from banks, through public offerings or private placements of debt or equity securities, strategic relationships or other arrangements;</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After the completion of the separation, the cost of capital for AbbVie's business may be higher than Abbott's cost of capital prior to the separation; and</w:t>
      </w:r>
    </w:p>
    <w:p>
      <w:pPr>
        <w:spacing w:after="0" w:line="260" w:lineRule="exact"/>
        <w:rPr>
          <w:rFonts w:ascii="Arial" w:cs="Arial" w:eastAsia="Arial" w:hAnsi="Arial"/>
          <w:sz w:val="15"/>
          <w:szCs w:val="15"/>
          <w:color w:val="auto"/>
        </w:rPr>
      </w:pPr>
    </w:p>
    <w:p>
      <w:pPr>
        <w:ind w:left="1060" w:right="180" w:hanging="531"/>
        <w:spacing w:after="0" w:line="315" w:lineRule="auto"/>
        <w:tabs>
          <w:tab w:leader="none" w:pos="10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AbbVie's historical financial information does not reflect the debt it will incur as part of the separation and distribution or its obligations to purchase from Abbott certain operations and assets, and assume the corresponding liabilities, of AbbVie's business after the distribution date.</w:t>
      </w:r>
    </w:p>
    <w:p>
      <w:pPr>
        <w:spacing w:after="0" w:line="146"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Other significant changes may occur in AbbVie's cost structure, management, financing and business operations as a result of operating as a company separate from Abbott. For additional information about the past financial performance of AbbVie's business and the basis of presentation of the historical combined financial statements and the unaudited pro forma combined financial statements of AbbVie's business, see "Unaudited Pro Forma Combined Financial Statements," "Selected Historical Combined Financial Data," "Management's Discussion and Analysis of Financial Condition and Results of Operations" and the historical financial statements and accompanying notes included elsewhere in this information statement.</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7"/>
          <w:szCs w:val="17"/>
          <w:b w:val="1"/>
          <w:bCs w:val="1"/>
          <w:i w:val="1"/>
          <w:iCs w:val="1"/>
          <w:color w:val="auto"/>
        </w:rPr>
        <w:t>As AbbVie builds its information technology infrastructure and transitions its data to its own systems, AbbVie could incur substantial additional costs and experience temporary business interruptions.</w:t>
      </w:r>
    </w:p>
    <w:p>
      <w:pPr>
        <w:spacing w:after="0" w:line="170" w:lineRule="exact"/>
        <w:rPr>
          <w:sz w:val="20"/>
          <w:szCs w:val="20"/>
          <w:color w:val="auto"/>
        </w:rPr>
      </w:pPr>
    </w:p>
    <w:p>
      <w:pPr>
        <w:ind w:right="40" w:firstLine="332"/>
        <w:spacing w:after="0" w:line="261" w:lineRule="auto"/>
        <w:rPr>
          <w:sz w:val="20"/>
          <w:szCs w:val="20"/>
          <w:color w:val="auto"/>
        </w:rPr>
      </w:pPr>
      <w:r>
        <w:rPr>
          <w:rFonts w:ascii="Arial" w:cs="Arial" w:eastAsia="Arial" w:hAnsi="Arial"/>
          <w:sz w:val="17"/>
          <w:szCs w:val="17"/>
          <w:color w:val="auto"/>
        </w:rPr>
        <w:t>After the separation, AbbVie will install and implement information technology infrastructure to support its critical business functions, including accounting and reporting, manufacturing process control, customer service, inventory control and distribution. AbbVie may incur temporary interruptions in business operations if it cannot transition effectively from Abbott's existing transactional and operational systems, data centers and the transition services that support these functions as AbbVie replaces these systems. AbbVie may not be successful in implementing its new systems and transitioning its data, and it may incur substantially higher costs for implementation than currently anticipated. AbbVie's failure to avoid operational interruptions as it implements the new systems and replaces Abbott's information technology services, or its failure to implement the new systems and replace Abbott's services successfully, could disrupt its business and have a material adverse effect on its profitability. In addition, if AbbVie is unable to replicate or transition certain systems, its ability to comply with regulatory requirements could be impaired.</w:t>
      </w:r>
    </w:p>
    <w:p>
      <w:pPr>
        <w:spacing w:after="0" w:line="18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b w:val="1"/>
          <w:bCs w:val="1"/>
          <w:i w:val="1"/>
          <w:iCs w:val="1"/>
          <w:color w:val="auto"/>
        </w:rPr>
        <w:t>Abbott may fail to perform under various transaction agreements that will be executed as part of the separation or AbbVie may fail to have necessary systems and services in place when certain of the transaction agreements expire.</w:t>
      </w:r>
    </w:p>
    <w:p>
      <w:pPr>
        <w:spacing w:after="0" w:line="170" w:lineRule="exact"/>
        <w:rPr>
          <w:sz w:val="20"/>
          <w:szCs w:val="20"/>
          <w:color w:val="auto"/>
        </w:rPr>
      </w:pPr>
    </w:p>
    <w:p>
      <w:pPr>
        <w:ind w:right="80" w:firstLine="341"/>
        <w:spacing w:after="0" w:line="280" w:lineRule="auto"/>
        <w:rPr>
          <w:sz w:val="20"/>
          <w:szCs w:val="20"/>
          <w:color w:val="auto"/>
        </w:rPr>
      </w:pPr>
      <w:r>
        <w:rPr>
          <w:rFonts w:ascii="Arial" w:cs="Arial" w:eastAsia="Arial" w:hAnsi="Arial"/>
          <w:sz w:val="16"/>
          <w:szCs w:val="16"/>
          <w:color w:val="auto"/>
        </w:rPr>
        <w:t>In connection with the separation, AbbVie and Abbott will enter into a separation and distribution agreement and will enter into various other agreements, including transition services agreements, a tax sharing agreement, international commercial operations agreements, finished goods supply agreements, contract manufacturing agreements, an employee matters agreement, a special products master agreement, an information technology agreement, and a transitional trademark license agreement. These agreements are discussed in greater detail in the section titled "Certain Relationships and Related Person Transactions." Certain of these agreements will provide for the performance of services by each company for the benefit of the other for a period of time after the separation. AbbVie will rely on Abbott to satisfy its performance and payment obligations under these agreements. If Abbott is unable to satisfy its obligations under these agreements, including its indemnification obligations, AbbVie could incur operational difficulties or losses.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addition, AbbVie and Abbott will enter into long-term arrangements under a special products master agreement relating to certain product rights and into an ex-U.S. transition services agreement for Abbott to provide AbbVie with back office functions and other services in certain markets outside the United States until AbbVie has established sufficient back office infrastructure to conduct operations in such markets. These arrangements could lead to disputes between Abbott and AbbVie over AbbVie's rights to certain shared intellectual property and territorial commercialization rights and over the allocation of costs and revenues for AbbVie's products and operations outside of the United States.</w:t>
      </w:r>
    </w:p>
    <w:p>
      <w:pPr>
        <w:spacing w:after="0" w:line="187"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If AbbVie does not have in place its own systems and services, or if AbbVie does not have agreements with other providers of these services when the transaction or long-term agreements terminate, AbbVie may not be able to operate its business effectively and its profitability may decline. AbbVie is in the process of creating its own, or engaging third parties to provide, systems and services to replace many of the systems and services Abbott currently provides to it. AbbVie may not be successful in effectively or efficiently implementing these systems and services or in transitioning data from Abbott's systems to AbbVie's. These systems and services may also be more expensive or less efficient than the systems and services Abbott is expected to provide during the transition period.</w:t>
      </w:r>
    </w:p>
    <w:p>
      <w:pPr>
        <w:spacing w:after="0" w:line="159" w:lineRule="exact"/>
        <w:rPr>
          <w:sz w:val="20"/>
          <w:szCs w:val="20"/>
          <w:color w:val="auto"/>
        </w:rPr>
      </w:pPr>
    </w:p>
    <w:p>
      <w:pPr>
        <w:jc w:val="both"/>
        <w:ind w:right="340" w:firstLine="332"/>
        <w:spacing w:after="0" w:line="270" w:lineRule="auto"/>
        <w:rPr>
          <w:sz w:val="20"/>
          <w:szCs w:val="20"/>
          <w:color w:val="auto"/>
        </w:rPr>
      </w:pPr>
      <w:r>
        <w:rPr>
          <w:rFonts w:ascii="Arial" w:cs="Arial" w:eastAsia="Arial" w:hAnsi="Arial"/>
          <w:sz w:val="17"/>
          <w:szCs w:val="17"/>
          <w:color w:val="auto"/>
        </w:rPr>
        <w:t>AbbVie will be developing and implementing its own back office functions, administrative systems, personnel, and processes for markets outside the United States where Abbott will initially provide such functions. There can be no assurance that AbbVie will be able to implement such functions effectively and without disrupting its business in those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to Abbott pursuant to the separation agreement could materially adversely affect AbbVie.</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separation agreement with Abbott provides for, among other things, the principal corporate transactions required to effect the separation, certain conditions to the separation and provisions governing the relationship between AbbVie and Abbott with respect to and resulting from the separation. For a description of the separation agreement, see "Certain Relationships and Related Person Transactions—The Separation Agreement." Among other things, the separation agreement provides for indemnification obligations designed to make AbbVie financially responsible for substantially all liabilities that may exist relating to its business activities, whether incurred prior to or after the separation, as well as those obligations of Abbott assumed by AbbVie pursuant to the separation agreement, including those relating to Depakote. If AbbVie is required to indemnify Abbott under the circumstances set forth in the separation agreement, AbbVie may be subject to substantial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could be significant liability if the distribution is determined to be a taxable transaction.</w:t>
      </w:r>
    </w:p>
    <w:p>
      <w:pPr>
        <w:spacing w:after="0" w:line="224" w:lineRule="exact"/>
        <w:rPr>
          <w:sz w:val="20"/>
          <w:szCs w:val="20"/>
          <w:color w:val="auto"/>
        </w:rPr>
      </w:pPr>
    </w:p>
    <w:p>
      <w:pPr>
        <w:ind w:right="160" w:firstLine="332"/>
        <w:spacing w:after="0" w:line="278" w:lineRule="auto"/>
        <w:rPr>
          <w:sz w:val="20"/>
          <w:szCs w:val="20"/>
          <w:color w:val="auto"/>
        </w:rPr>
      </w:pPr>
      <w:r>
        <w:rPr>
          <w:rFonts w:ascii="Arial" w:cs="Arial" w:eastAsia="Arial" w:hAnsi="Arial"/>
          <w:sz w:val="16"/>
          <w:szCs w:val="16"/>
          <w:color w:val="auto"/>
        </w:rPr>
        <w:t>A condition to the distribution is the receipt by Abbott of a private letter ruling from the IRS to the effect that, among other things, the separation and the distribution will qualify as a transaction that is tax-free for U.S. federal income tax purposes under Sections 355 and 368(a)(1)(D) of the Internal Revenue Code, and that this private letter ruling shall not be revoked or modified in any material respect. In addition, the distribution is conditioned upon Abbott's receipt of an opinion from outside tax counsel to the effect that the separation and the distribution will qualify as a transaction that is described in Sections 355(a) and 368(a)(1)(D) of the Code. The ruling and the opinion will rely on certain facts, assumptions, representations and undertakings from Abbott and AbbVie regarding the past and future conduct of the companies' respective businesses and other matters. If any of these facts, assumptions, representations or undertakings are incorrect or not satisfied, Abbott and its shareholders may not be able to rely on the ruling or the opinion of tax counsel and could be subject to significant tax liabilities. Notwithstanding the private letter ruling and opinion of tax counsel, the IRS could determine on audit that the separation is taxable if it determines that any of these facts, assumptions, representations or undertakings are not correct or have been violated or if it disagrees with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conclusions in the opinion that are not covered by the private letter ruling, or for other reasons, including as a result of certain significant changes in the share ownership of Abbott or AbbVie after the separation. If the separation is determined to be taxable for U.S. federal income tax purposes, Abbott and its shareholders that are subject to U.S. federal income tax could incur significant U.S. federal income tax liabilities and AbbVie could incur significant liabilities. For a description of the sharing of such liabilities between Abbott and AbbVie, see "Certain Relationships and Related Person Transactions—Tax Sharing Agreement."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engage in certain corporate transactions after the separation.</w:t>
      </w:r>
    </w:p>
    <w:p>
      <w:pPr>
        <w:spacing w:after="0" w:line="224" w:lineRule="exact"/>
        <w:rPr>
          <w:sz w:val="20"/>
          <w:szCs w:val="20"/>
          <w:color w:val="auto"/>
        </w:rPr>
      </w:pPr>
    </w:p>
    <w:p>
      <w:pPr>
        <w:ind w:right="120" w:firstLine="338"/>
        <w:spacing w:after="0" w:line="294" w:lineRule="auto"/>
        <w:rPr>
          <w:sz w:val="20"/>
          <w:szCs w:val="20"/>
          <w:color w:val="auto"/>
        </w:rPr>
      </w:pPr>
      <w:r>
        <w:rPr>
          <w:rFonts w:ascii="Arial" w:cs="Arial" w:eastAsia="Arial" w:hAnsi="Arial"/>
          <w:sz w:val="16"/>
          <w:szCs w:val="16"/>
          <w:color w:val="auto"/>
        </w:rPr>
        <w:t>To preserve the tax-free treatment to Abbott of the separation and the distribution, under the tax sharing agreement that AbbVie will enter into with Abbott, AbbVie is restricted from taking any action that prevents the distribution and related transactions from being tax-free for U.S. federal income tax purposes. Under the tax sharing agreement, for the two-year period following the distribution, AbbVie will be prohibited, except in certain circumstances, from:</w:t>
      </w:r>
    </w:p>
    <w:p>
      <w:pPr>
        <w:spacing w:after="0" w:line="176" w:lineRule="exact"/>
        <w:rPr>
          <w:sz w:val="20"/>
          <w:szCs w:val="20"/>
          <w:color w:val="auto"/>
        </w:rPr>
      </w:pPr>
    </w:p>
    <w:p>
      <w:pPr>
        <w:ind w:left="1060" w:hanging="531"/>
        <w:spacing w:after="0"/>
        <w:tabs>
          <w:tab w:leader="none" w:pos="10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entering into any transaction resulting in the acquisition of 25% or more of its stock or substantially all of its assets, whether by merger or otherwise;</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merging, consolidating, or liquidating;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issuing equity securities beyond certain thresholds;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repurchasing its capital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ceasing to actively conduct its business.</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These restrictions may limit AbbVie's ability to pursue certain strategic transactions or other transactions that it may believe to be in the best interests of its stockholders or that might increase the value of its business. In addition, under the tax sharing agreement, AbbVie is required to indemnify Abbott against any such tax liabilities as a result of the acquisition of AbbVie's stock or assets, even if it did not participate in or otherwise facilitate the acquisition.</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After the separation, certain of AbbVie's executive officers and directors may have actual or potential conflicts of interest because of their previous or continuing positions at Abbott.</w:t>
      </w:r>
    </w:p>
    <w:p>
      <w:pPr>
        <w:spacing w:after="0" w:line="170"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Because of their current or former positions with Abbott, certain of these expected executive officers and directors own Abbott common shares, options to purchase Abbott common shares or other equity awards. Following the separation, even though AbbVie's board of directors will consist of a majority of directors who are independent, and AbbVie's expected executive officers who are currently employees of Abbott will cease to be employees of Abbott, some AbbVie executive officers and directors continue to have a financial interest in Abbott common shares. In addition, four of AbbVie's directors will continue serving on the board of directors of Abbott. Continuing ownership of Abbott common shares and equity awards, or service as a director at both companies could create, or appear to create, potential conflicts of interest if AbbVie and Abbott pursue the same corporate opportunities or face decisions that could have different implications for AbbVie and Abbott.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achieve some or all of the expected benefits of the separation, and the separation may adversely affect AbbVie's business.</w:t>
      </w:r>
    </w:p>
    <w:p>
      <w:pPr>
        <w:spacing w:after="0" w:line="224"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AbbVie may not be able to achieve the full strategic and financial benefits expected to result from the separation, or such benefits may be delayed or not occur at all. The separation and distribution is expected to provide the following benefits, among others: (i) a distinct investment identity allowing investors to evaluate the merits, performance, and future prospects of AbbVie separately from Abbott; (ii) more efficient allocation of capital for both Abbott and AbbVie; and (iii) direct access by AbbVie to the capital markets.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2"/>
        <w:spacing w:after="0" w:line="281" w:lineRule="auto"/>
        <w:rPr>
          <w:sz w:val="20"/>
          <w:szCs w:val="20"/>
          <w:color w:val="auto"/>
        </w:rPr>
      </w:pPr>
      <w:r>
        <w:rPr>
          <w:rFonts w:ascii="Arial" w:cs="Arial" w:eastAsia="Arial" w:hAnsi="Arial"/>
          <w:sz w:val="16"/>
          <w:szCs w:val="16"/>
          <w:color w:val="auto"/>
        </w:rPr>
        <w:t>AbbVie may not achieve these and other anticipated benefits for a variety of reasons, 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(c) following the separation, AbbVie's business will be less diversified than Abbott's business prior to the separation; and (d) the other actions required to separate Abbott's and AbbVie's respective businesses could disrupt AbbVie's operations. If AbbVie fails to achieve some or all of the benefits expected to result from the separation, or if such benefits are delayed, the business, financial conditions, and results of operations of AbbVie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have received better terms from unaffiliated third parties than the terms it will receive in its agreements with Abbott.</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agreements AbbVie will enter into with Abbott in connection with the separation, including transition services agreements, a tax sharing agreement, international commercial operations agreements, finished goods supply agreements, contract manufacturing agreements, an employee matters agreement, a special products master agreement, an information technology agreement, and a transitional trademark license agreement, were prepared in the context of the separation while AbbVie was still a wholly owned subsidiary of Abbott. Accordingly, during the period in which the terms of those agreements were prepared, AbbVie did not have an independent board of directors or a management team that was independent of Abbott. As a result, the terms of those agreements may not reflect terms that would have resulted from arm's-length negotiations between unaffiliated third parties. Arm's-length negotiations between Abbott and an unaffiliated third party in another form of transaction, such as a buyer in a sale of a business transaction, may have resulted in more favorable terms to the unaffiliated third party. See "Certain Relationships and Related Person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After AbbVie's separation from Abbott, AbbVie will have debt obligations that could adversely affect its business and its ability to meet its obligations.</w:t>
      </w:r>
    </w:p>
    <w:p>
      <w:pPr>
        <w:spacing w:after="0" w:line="247"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 expects to incur approximately $15.7 billion in debt through a combination of some or all of the following: long-term and short-term debt issuances and borrowings under bank credit facilities, as contemplated in the sections captioned "Unaudited Pro Forma Combined Financial Data" and "Description of Indebtedness." AbbVie intends to use this debt in part to finance a distribution of approximately $13.2 billion in cash to Abbott, pursuant to the terms of the separation agreement. Although AbbVie will have approximately $7.2 billion in cash and short-term investments in total following the distribution, as presented in the section captioned "Unaudited Pro Forma Combined Financial Statements," the amount of debt that AbbVie intends to incur could have important consequences to AbbVie and its investors, including:</w:t>
      </w:r>
    </w:p>
    <w:p>
      <w:pPr>
        <w:spacing w:after="0" w:line="201" w:lineRule="exact"/>
        <w:rPr>
          <w:sz w:val="20"/>
          <w:szCs w:val="20"/>
          <w:color w:val="auto"/>
        </w:rPr>
      </w:pPr>
    </w:p>
    <w:p>
      <w:pPr>
        <w:ind w:left="1060" w:hanging="531"/>
        <w:spacing w:after="0"/>
        <w:tabs>
          <w:tab w:leader="none" w:pos="10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requiring a portion of AbbVie's cash flow from operations to make interest payments on this debt;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increasing AbbVie's vulnerability to general adverse economic and industry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reducing the cash flow available to fund capital expenditures and other corporate purposes and to grow AbbVie's business;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limiting AbbVie's flexibility in planning for, or reacting to, changes in AbbVie's business and the industry.</w:t>
      </w:r>
    </w:p>
    <w:p>
      <w:pPr>
        <w:spacing w:after="0" w:line="224"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To the extent that AbbVie incurs additional indebtedness, the risks described above could increase.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40" w:firstLine="332"/>
        <w:spacing w:after="0" w:line="287" w:lineRule="auto"/>
        <w:rPr>
          <w:sz w:val="20"/>
          <w:szCs w:val="20"/>
          <w:color w:val="auto"/>
        </w:rPr>
      </w:pPr>
      <w:r>
        <w:rPr>
          <w:rFonts w:ascii="Arial" w:cs="Arial" w:eastAsia="Arial" w:hAnsi="Arial"/>
          <w:sz w:val="16"/>
          <w:szCs w:val="16"/>
          <w:color w:val="auto"/>
        </w:rPr>
        <w:t>AbbVie expects that the terms of its debt will contain covenants restricting its financial flexibility in a number of ways, including among other things, restrictions on the incurrence of debt secured by mortgages and liens, sale and leaseback transactions, mergers, consolidations and sales of assets, as well as changes in the nature of AbbVie's business. If AbbVie breaches a restrictive covenant under any of its indebtedness, or an event of default occurs in respect of such indebtedness, AbbVie's lenders of such indebtedness may be entitled to declare all amounts owing in respect thereof to be immediately due and payable.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Challenges in the commercial and credit environment may adversely affect AbbVie's ability to complete the separation and AbbVie's future access to capital.</w:t>
      </w:r>
    </w:p>
    <w:p>
      <w:pPr>
        <w:spacing w:after="0" w:line="247"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ability to issue debt or enter into other financing arrangements on acceptable terms could be adversely affected if there is a material decline in the demand for AbbVie's products or in the solvency of its customers or suppliers or other significantly unfavorable changes in economic conditions. Volatility in the world financial markets could increase borrowing costs or affect AbbVie's ability to access the capital markets. These conditions may adversely affect AbbVie's ability to obtain and maintain investment grade credit ratings prior to and following the separation.</w:t>
      </w:r>
    </w:p>
    <w:p>
      <w:pPr>
        <w:spacing w:after="0" w:line="185" w:lineRule="exact"/>
        <w:rPr>
          <w:sz w:val="20"/>
          <w:szCs w:val="20"/>
          <w:color w:val="auto"/>
        </w:rPr>
      </w:pPr>
    </w:p>
    <w:p>
      <w:pPr>
        <w:ind w:right="260"/>
        <w:spacing w:after="0" w:line="352" w:lineRule="auto"/>
        <w:rPr>
          <w:sz w:val="20"/>
          <w:szCs w:val="20"/>
          <w:color w:val="auto"/>
        </w:rPr>
      </w:pPr>
      <w:r>
        <w:rPr>
          <w:rFonts w:ascii="Arial" w:cs="Arial" w:eastAsia="Arial" w:hAnsi="Arial"/>
          <w:sz w:val="15"/>
          <w:szCs w:val="15"/>
          <w:b w:val="1"/>
          <w:bCs w:val="1"/>
          <w:i w:val="1"/>
          <w:iCs w:val="1"/>
          <w:color w:val="auto"/>
        </w:rPr>
        <w:t>No vote of the Abbott shareholders is required in connection with this distribution. As a result, if the distribution occurs and you do not want to receive AbbVie common shares in the distribution, your sole recourse will be to divest yourself of your Abbott common shares prior to the record date.</w:t>
      </w:r>
    </w:p>
    <w:p>
      <w:pPr>
        <w:spacing w:after="0" w:line="123" w:lineRule="exact"/>
        <w:rPr>
          <w:sz w:val="20"/>
          <w:szCs w:val="20"/>
          <w:color w:val="auto"/>
        </w:rPr>
      </w:pPr>
    </w:p>
    <w:p>
      <w:pPr>
        <w:ind w:right="80" w:firstLine="341"/>
        <w:spacing w:after="0" w:line="352" w:lineRule="auto"/>
        <w:rPr>
          <w:sz w:val="20"/>
          <w:szCs w:val="20"/>
          <w:color w:val="auto"/>
        </w:rPr>
      </w:pPr>
      <w:r>
        <w:rPr>
          <w:rFonts w:ascii="Arial" w:cs="Arial" w:eastAsia="Arial" w:hAnsi="Arial"/>
          <w:sz w:val="15"/>
          <w:szCs w:val="15"/>
          <w:color w:val="auto"/>
        </w:rPr>
        <w:t>No vote of the Abbott shareholders is required in connection with the distribution. Accordingly, if the distribution occurs and you do not want to receive AbbVie common shares in the distribution, your only recourse will be to divest yourself of your Abbott common shares prior to the record date for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Common Stock</w:t>
      </w:r>
    </w:p>
    <w:p>
      <w:pPr>
        <w:spacing w:after="0" w:line="228"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b w:val="1"/>
          <w:bCs w:val="1"/>
          <w:i w:val="1"/>
          <w:iCs w:val="1"/>
          <w:color w:val="auto"/>
        </w:rPr>
        <w:t>AbbVie cannot be certain that an active trading market for its common stock will develop or be sustained after the separation, and following the separation, AbbVie's stock price may fluctuate significantly.</w:t>
      </w:r>
    </w:p>
    <w:p>
      <w:pPr>
        <w:spacing w:after="0" w:line="170" w:lineRule="exact"/>
        <w:rPr>
          <w:sz w:val="20"/>
          <w:szCs w:val="20"/>
          <w:color w:val="auto"/>
        </w:rPr>
      </w:pPr>
    </w:p>
    <w:p>
      <w:pPr>
        <w:ind w:right="100" w:firstLine="332"/>
        <w:spacing w:after="0" w:line="262" w:lineRule="auto"/>
        <w:rPr>
          <w:sz w:val="20"/>
          <w:szCs w:val="20"/>
          <w:color w:val="auto"/>
        </w:rPr>
      </w:pPr>
      <w:r>
        <w:rPr>
          <w:rFonts w:ascii="Arial" w:cs="Arial" w:eastAsia="Arial" w:hAnsi="Arial"/>
          <w:sz w:val="17"/>
          <w:szCs w:val="17"/>
          <w:color w:val="auto"/>
        </w:rPr>
        <w:t>A public market for AbbVie's common stock does not currently exist. AbbVie anticipates that on or prior to the record date for the distribution, trading of shares of its common stock will begin on a "when-issued" basis and will continue through the distribution date. However, AbbVie cannot guarantee that an active trading market will develop or be sustained for its common stock after the separation. Nor can AbbVie predict the prices at which shares of its common stock may trade after the separation. Similarly, AbbVie cannot predict the effect of the separation on the trading prices of its common stock or whether the combined market value of the shares of AbbVie's common stock and the Abbott common shares will be less than, equal to or greater than the market value of Abbott's common shares prior to the separation.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market price of AbbVie's common stock may fluctuate significantly due to a number of factors, some of which may be beyond AbbVie's control, including:</w:t>
      </w:r>
    </w:p>
    <w:p>
      <w:pPr>
        <w:spacing w:after="0" w:line="260" w:lineRule="exact"/>
        <w:rPr>
          <w:sz w:val="20"/>
          <w:szCs w:val="20"/>
          <w:color w:val="auto"/>
        </w:rPr>
      </w:pPr>
    </w:p>
    <w:p>
      <w:pPr>
        <w:ind w:left="1060" w:hanging="531"/>
        <w:spacing w:after="0"/>
        <w:tabs>
          <w:tab w:leader="none" w:pos="10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actual or anticipated fluctuations in AbbVie's operating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changes in earnings estimated by securities analysts or AbbVie's ability to meet those estimates;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operating and stock price performance of comparable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changes to the regulatory and legal environment under which AbbVie operates;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domestic and worldwide economic conditions.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60" w:firstLine="341"/>
        <w:spacing w:after="0" w:line="352" w:lineRule="auto"/>
        <w:rPr>
          <w:sz w:val="20"/>
          <w:szCs w:val="20"/>
          <w:color w:val="auto"/>
        </w:rPr>
      </w:pPr>
      <w:r>
        <w:rPr>
          <w:rFonts w:ascii="Arial" w:cs="Arial" w:eastAsia="Arial" w:hAnsi="Arial"/>
          <w:sz w:val="15"/>
          <w:szCs w:val="15"/>
          <w:color w:val="auto"/>
        </w:rPr>
        <w:t>In addition, when the market price of a company's common stock drops significantly, stockholders often institute securities class action lawsuits against the company. A lawsuit against AbbVie could cause it to incur substantial costs and could divert the time and attention of its management and other resources.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number of AbbVie's shares of common stock are or will be eligible for future sale, which may cause AbbVie's stock price to decline.</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Any sales of substantial amounts of AbbVie's common stock in the public market or the perception that such sales might occur, in connection with the distribution or otherwise, may cause the market price of AbbVie's common stock to decline. Upon completion of the distribution, AbbVie expects that it will have an aggregate of</w:t>
      </w:r>
    </w:p>
    <w:p>
      <w:pPr>
        <w:ind w:right="60"/>
        <w:spacing w:after="0" w:line="266" w:lineRule="auto"/>
        <w:rPr>
          <w:sz w:val="20"/>
          <w:szCs w:val="20"/>
          <w:color w:val="auto"/>
        </w:rPr>
      </w:pPr>
      <w:r>
        <w:rPr>
          <w:rFonts w:ascii="Arial" w:cs="Arial" w:eastAsia="Arial" w:hAnsi="Arial"/>
          <w:sz w:val="17"/>
          <w:szCs w:val="17"/>
          <w:color w:val="auto"/>
        </w:rPr>
        <w:t>approximately shares of its common stock issued and outstanding on . These shares will be freely tradeable without restriction or further registration under the U.S. Securities Act of 1933, as amended (the Securities Act), unless the shares are owned by one of AbbVie's "affiliates," as that term is defined in Rule 405 under the Securities Act.</w:t>
      </w:r>
    </w:p>
    <w:p>
      <w:pPr>
        <w:spacing w:after="0" w:line="183"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is unable to predict whether large amounts of its common stock will be sold in the open market following the distribution. AbbVie is also unable to predict whether a sufficient number of buyers would be in the market at that time. A portion of Abbott's common stock is held by index funds tied to the Standard &amp; Poor's 500 Index or other stock indices. If AbbVie is not included in these indices at the time of distribution, these index funds will be required to sell AbbVie's stock.</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cannot guarantee the timing, amount, or payment of dividends on its common stock.</w:t>
      </w:r>
    </w:p>
    <w:p>
      <w:pPr>
        <w:spacing w:after="0" w:line="224"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Although AbbVie expects to pay regular cash dividends following the separation,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"Dividend Policy." AbbVie's ability to pay dividends will depend on its ongoing ability to generate cash from operations and access capital markets. AbbVie cannot guarantee that it will pay a dividend in the future or continue to pay any dividend if AbbVie commences paying dividends.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of ownership in AbbVie may be diluted in the future.</w:t>
      </w:r>
    </w:p>
    <w:p>
      <w:pPr>
        <w:spacing w:after="0" w:line="224"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In the future, your percentage ownership in AbbVie may be diluted because of equity issuances for acquisitions, capital market transactions or otherwise, including equity awards that AbbVie will be granting to AbbVie's directors, officers and employees. AbbVie's employees will have options to purchase shares of its common stock after the distribution as a result of conversion of their Abbott stock options (in whole or in part) to AbbVie stock options. AbbVie anticipates its compensation committee will grant additional stock options or other stock-based awards to its employees after the distribution.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188" w:lineRule="exact"/>
        <w:rPr>
          <w:sz w:val="20"/>
          <w:szCs w:val="20"/>
          <w:color w:val="auto"/>
        </w:rPr>
      </w:pPr>
    </w:p>
    <w:p>
      <w:pPr>
        <w:ind w:right="220" w:firstLine="341"/>
        <w:spacing w:after="0" w:line="287" w:lineRule="auto"/>
        <w:rPr>
          <w:sz w:val="20"/>
          <w:szCs w:val="20"/>
          <w:color w:val="auto"/>
        </w:rPr>
      </w:pPr>
      <w:r>
        <w:rPr>
          <w:rFonts w:ascii="Arial" w:cs="Arial" w:eastAsia="Arial" w:hAnsi="Arial"/>
          <w:sz w:val="16"/>
          <w:szCs w:val="16"/>
          <w:color w:val="auto"/>
        </w:rPr>
        <w:t>In addition, AbbVie's amended and restated certificate of incorporation will authorize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 See "Description of AbbVie's Capital Stock."</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70" w:lineRule="exact"/>
        <w:rPr>
          <w:sz w:val="20"/>
          <w:szCs w:val="20"/>
          <w:color w:val="auto"/>
        </w:rPr>
      </w:pPr>
    </w:p>
    <w:p>
      <w:pPr>
        <w:ind w:right="280" w:firstLine="332"/>
        <w:spacing w:after="0" w:line="322" w:lineRule="auto"/>
        <w:rPr>
          <w:sz w:val="20"/>
          <w:szCs w:val="20"/>
          <w:color w:val="auto"/>
        </w:rPr>
      </w:pPr>
      <w:r>
        <w:rPr>
          <w:rFonts w:ascii="Arial" w:cs="Arial" w:eastAsia="Arial" w:hAnsi="Arial"/>
          <w:sz w:val="15"/>
          <w:szCs w:val="15"/>
          <w:color w:val="auto"/>
        </w:rPr>
        <w:t>AbbVie's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acquirors to negotiate with AbbVie's board of directors rather than to attempt a hostile takeover. These provisions include, among others:</w:t>
      </w:r>
    </w:p>
    <w:p>
      <w:pPr>
        <w:spacing w:after="0" w:line="158" w:lineRule="exact"/>
        <w:rPr>
          <w:sz w:val="20"/>
          <w:szCs w:val="20"/>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inability of AbbVie's stockholders to call a special meeting;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rules regarding how stockholders may present proposals or nominate directors for election at stockholder meetings;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right of AbbVie's board to issue preferred stock without stockholder approval;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division of AbbVie's board of directors into three classes of directors, with each class serving a staggered three-year term;</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provision that stockholders may only remove directors with cause;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ability of AbbVie's directors, and not stockholders, to fill vacancies on AbbVie's board of directors; and</w:t>
      </w:r>
    </w:p>
    <w:p>
      <w:pPr>
        <w:spacing w:after="0" w:line="237" w:lineRule="exact"/>
        <w:rPr>
          <w:rFonts w:ascii="Arial" w:cs="Arial" w:eastAsia="Arial" w:hAnsi="Arial"/>
          <w:sz w:val="17"/>
          <w:szCs w:val="17"/>
          <w:color w:val="auto"/>
        </w:rPr>
      </w:pPr>
    </w:p>
    <w:p>
      <w:pPr>
        <w:ind w:left="1060" w:right="80" w:hanging="531"/>
        <w:spacing w:after="0" w:line="322" w:lineRule="auto"/>
        <w:tabs>
          <w:tab w:leader="none" w:pos="10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requirement that the affirmative vote of stockholders holding at least 80 percent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4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because AbbVie has not chosen to be exempt from Section 203 of the Delaware General Corporation Law, this provision could also delay or prevent a change of control that you may favor. Section 203 provides that, subject to limited exceptions, persons that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percent of the corporation's outstanding voting stock.</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believes these provisions will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will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Several of the agreements that AbbVie has entered into with Abbott require Abbott's consent to any assignment by AbbVie of its rights and obligations under the agreements. These agreements will generally expire within two years of AbbVie's separation from Abbott, except for certain agreements that will continue for longer terms and in some cases for the life of the products covered by the agreements. The consent and termination rights set forth in these agreements might discourage, delay or prevent a change of control that you may consider favorable. See "Certain Relationships and Related Person Transactions" and "Description of AbbVie's Capital Stock" for a more detailed description of these agreements and provisions.</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In addition, an acquisition or further issuance of AbbVie's stock could trigger the application of Section 355(e) of the Internal Revenue Code. For a discussion of Section 355(e), see "Material U.S. Federal Income Tax Consequences." Under the tax sharing agreement, AbbVie would be required to indemnify Abbott for the resulting tax, and this indemnity obligation might discourage, delay or prevent a change of control that you may consider favorable.</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28"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This information statement and other materials Abbott and AbbVie have filed or will file with the SEC contain, or will contain,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projected, anticipated or implied in the forward-looking statements. In particular, information included under "Risk Factors," "Management's Discussion and Analysis of Financial Condition and Results of Operations," "Business," and "The Separation and Distribution" contain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"Risk Factors" and "Management's Discussion and Analysis of Financial Condition and Results of Operations."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AbbVie expects that it will pay a regular cash dividend at an annual rate of $1.60 per share, starting with the quarterly dividend to be paid in February 2013. However, the timing, declaration, amount of, and payment of any dividends following the separation by AbbVie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following table sets forth AbbVie's capitalization as of June 30, 2012 on a historical basis and on a pro forma basis to give effect to the pro forma adjustments included in AbbVie's unaudited pro forma financial information. The information below is not necessarily indicative of what AbbVie's capitalization would have been had the separation, distribution and related financing transactions been completed as of June 30, 2012. In addition, it is not indicative of AbbVie's future capitalization. This table should be read in conjunction with "Unaudited Pro Forma Combined Financial Statements," "Selected Historical Combined Financial Data," "Management's Discussion and Analysis of Financial Condition and Results of Operations," and AbbVie's combined financial statements and notes included elsewhere in this information statement.</w:t>
      </w:r>
    </w:p>
    <w:p>
      <w:pPr>
        <w:spacing w:after="0" w:line="236"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As of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5080</wp:posOffset>
            </wp:positionV>
            <wp:extent cx="1015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wp:posOffset>
            </wp:positionV>
            <wp:extent cx="10153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Actual</w:t>
            </w:r>
          </w:p>
        </w:tc>
        <w:tc>
          <w:tcPr>
            <w:tcW w:w="264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r>
      <w:tr>
        <w:trPr>
          <w:trHeight w:val="203"/>
        </w:trPr>
        <w:tc>
          <w:tcPr>
            <w:tcW w:w="17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Debt:</w:t>
            </w:r>
          </w:p>
        </w:tc>
        <w:tc>
          <w:tcPr>
            <w:tcW w:w="2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Total debt</w:t>
            </w:r>
          </w:p>
        </w:tc>
        <w:tc>
          <w:tcPr>
            <w:tcW w:w="2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2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15,700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2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Common stock, par value $0.01 per share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Net parent company investment in AbbVie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11,831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w w:val="97"/>
              </w:rPr>
              <w:t>Accumulated other comprehensive income (loss)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(1,326)</w:t>
            </w:r>
          </w:p>
        </w:tc>
        <w:tc>
          <w:tcPr>
            <w:tcW w:w="1720" w:type="dxa"/>
            <w:vAlign w:val="bottom"/>
          </w:tcPr>
          <w:p>
            <w:pPr>
              <w:spacing w:after="0"/>
              <w:rPr>
                <w:sz w:val="18"/>
                <w:szCs w:val="18"/>
                <w:color w:val="auto"/>
              </w:rPr>
            </w:pPr>
          </w:p>
        </w:tc>
      </w:tr>
      <w:tr>
        <w:trPr>
          <w:trHeight w:val="417"/>
        </w:trPr>
        <w:tc>
          <w:tcPr>
            <w:tcW w:w="5340" w:type="dxa"/>
            <w:vAlign w:val="bottom"/>
            <w:gridSpan w:val="2"/>
          </w:tcPr>
          <w:p>
            <w:pPr>
              <w:ind w:left="1720"/>
              <w:spacing w:after="0"/>
              <w:rPr>
                <w:sz w:val="20"/>
                <w:szCs w:val="20"/>
                <w:color w:val="auto"/>
              </w:rPr>
            </w:pPr>
            <w:r>
              <w:rPr>
                <w:rFonts w:ascii="Arial" w:cs="Arial" w:eastAsia="Arial" w:hAnsi="Arial"/>
                <w:sz w:val="17"/>
                <w:szCs w:val="17"/>
                <w:color w:val="auto"/>
              </w:rPr>
              <w:t>Total Capitalization</w:t>
            </w:r>
          </w:p>
        </w:tc>
        <w:tc>
          <w:tcPr>
            <w:tcW w:w="2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11,505</w:t>
            </w:r>
          </w:p>
        </w:tc>
        <w:tc>
          <w:tcPr>
            <w:tcW w:w="14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18,186</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0" w:type="dxa"/>
            <w:vAlign w:val="bottom"/>
          </w:tcPr>
          <w:p>
            <w:pPr>
              <w:jc w:val="right"/>
              <w:ind w:right="2055"/>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unaudited pro forma combined financial statements consist of unaudited pro forma combined statements of earnings for the six months ended June 30, 2012 and for the year ended December 31, 2011 and an unaudited pro forma condensed combined balance sheet as of June 30, 2012. The unaudited pro forma combined financial statements reported below should be read in conjunction with AbbVie's "Management's Discussion and Analysis of Financial Condition and Results of Operations," the historical combined annual and condensed interim financial statements and the corresponding notes included elsewhere in this information statement.</w:t>
      </w:r>
    </w:p>
    <w:p>
      <w:pPr>
        <w:spacing w:after="0" w:line="187"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following unaudited pro forma condensed combined balance sheet and statements of earnings have been derived from AbbVie's historical combined annual and condensed interim financial statements included elsewhere in this information statement. The statements are for informational purposes only and do not purport to represent what AbbVie's financial position and results of operations actually would have been had the separation and distribution occurred on the dates indicated, or to project AbbVie's financial performance for any future period.</w:t>
      </w:r>
    </w:p>
    <w:p>
      <w:pPr>
        <w:spacing w:after="0" w:line="185"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Abbott did not account for AbbVie as, and AbbVie was not operated as a separate, independent company for the periods presented. Due to regulations governing the preparation of pro forma financial statements, the pro forma financial statements do not reflect certain estimated incremental expenses associated with being an independent, public company because they are projected amounts based on judgmental estimates and are not factually supportable. The estimated incremental expenses associated with being an independent, public company include costs for information technology and costs associated with corporate administrative services such as tax, treasury, audit, risk management, legal, stockholder relations and human resources.</w:t>
      </w:r>
    </w:p>
    <w:p>
      <w:pPr>
        <w:spacing w:after="0" w:line="174" w:lineRule="exact"/>
        <w:rPr>
          <w:sz w:val="20"/>
          <w:szCs w:val="20"/>
          <w:color w:val="auto"/>
        </w:rPr>
      </w:pPr>
    </w:p>
    <w:p>
      <w:pPr>
        <w:ind w:right="40" w:firstLine="338"/>
        <w:spacing w:after="0" w:line="352" w:lineRule="auto"/>
        <w:rPr>
          <w:sz w:val="20"/>
          <w:szCs w:val="20"/>
          <w:color w:val="auto"/>
        </w:rPr>
      </w:pPr>
      <w:r>
        <w:rPr>
          <w:rFonts w:ascii="Arial" w:cs="Arial" w:eastAsia="Arial" w:hAnsi="Arial"/>
          <w:sz w:val="15"/>
          <w:szCs w:val="15"/>
          <w:color w:val="auto"/>
        </w:rPr>
        <w:t>The pro forma balance sheet adjustments assume that AbbVie's separation from Abbott occurred as of June 30, 2012. The pro forma adjustments to the combined statements of earnings for the six months ended June 30, 2012 and for the year ended December 31, 2011 assume that the separation occurred as of January 1, 2011.</w:t>
      </w:r>
    </w:p>
    <w:p>
      <w:pPr>
        <w:spacing w:after="0" w:line="123"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unaudited pro forma combined statements of earnings for the six months ended June 30, 2012 and for the year ended December 31, 2011 and the unaudited pro forma condensed combined balance sheet as of June 30, 2012 have been adjusted to give effect to the following transactions:</w:t>
      </w:r>
    </w:p>
    <w:p>
      <w:pPr>
        <w:spacing w:after="0" w:line="183" w:lineRule="exact"/>
        <w:rPr>
          <w:sz w:val="20"/>
          <w:szCs w:val="20"/>
          <w:color w:val="auto"/>
        </w:rPr>
      </w:pPr>
    </w:p>
    <w:p>
      <w:pPr>
        <w:ind w:left="1060" w:hanging="531"/>
        <w:spacing w:after="0"/>
        <w:tabs>
          <w:tab w:leader="none" w:pos="10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contribution by Abbott to AbbVie of the assets and liabilities that comprise AbbVie's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transfer of various corporate and other assets and liabilities not included in AbbVie's historical combined balance sheet,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issuance of $15.7 billion of debt,</w:t>
      </w:r>
    </w:p>
    <w:p>
      <w:pPr>
        <w:spacing w:after="0" w:line="224" w:lineRule="exact"/>
        <w:rPr>
          <w:sz w:val="20"/>
          <w:szCs w:val="20"/>
          <w:color w:val="auto"/>
        </w:rPr>
      </w:pPr>
    </w:p>
    <w:p>
      <w:pPr>
        <w:ind w:left="520"/>
        <w:spacing w:after="0"/>
        <w:tabs>
          <w:tab w:leader="none" w:pos="1040" w:val="left"/>
          <w:tab w:leader="none" w:pos="34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issuance of approximately</w:t>
      </w:r>
      <w:r>
        <w:rPr>
          <w:sz w:val="20"/>
          <w:szCs w:val="20"/>
          <w:color w:val="auto"/>
        </w:rPr>
        <w:tab/>
      </w:r>
      <w:r>
        <w:rPr>
          <w:rFonts w:ascii="Arial" w:cs="Arial" w:eastAsia="Arial" w:hAnsi="Arial"/>
          <w:sz w:val="15"/>
          <w:szCs w:val="15"/>
          <w:color w:val="auto"/>
        </w:rPr>
        <w:t>shares of AbbVie's common stock, and</w:t>
      </w:r>
    </w:p>
    <w:p>
      <w:pPr>
        <w:spacing w:after="0" w:line="263" w:lineRule="exact"/>
        <w:rPr>
          <w:sz w:val="20"/>
          <w:szCs w:val="20"/>
          <w:color w:val="auto"/>
        </w:rPr>
      </w:pPr>
    </w:p>
    <w:p>
      <w:pPr>
        <w:ind w:left="1060" w:right="200" w:hanging="531"/>
        <w:spacing w:after="0" w:line="315" w:lineRule="auto"/>
        <w:tabs>
          <w:tab w:leader="none" w:pos="10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impact of the separation agreement, the tax matters agreement, transition services agreements, the employee matters agreement, manufacture and supply agreements and other commercial agreements between AbbVie and Abbott and the provisions contained therein.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STATEMENTS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SIX MONTHS ENDED JUNE 30, 2012</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right"/>
              <w:ind w:right="875"/>
              <w:spacing w:after="0"/>
              <w:rPr>
                <w:sz w:val="20"/>
                <w:szCs w:val="20"/>
                <w:color w:val="auto"/>
              </w:rPr>
            </w:pPr>
            <w:r>
              <w:rPr>
                <w:rFonts w:ascii="Arial" w:cs="Arial" w:eastAsia="Arial" w:hAnsi="Arial"/>
                <w:sz w:val="13"/>
                <w:szCs w:val="13"/>
                <w:b w:val="1"/>
                <w:bCs w:val="1"/>
                <w:color w:val="auto"/>
                <w:w w:val="95"/>
              </w:rPr>
              <w:t>Pro Forma</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Adjustments</w:t>
            </w:r>
          </w:p>
        </w:tc>
        <w:tc>
          <w:tcPr>
            <w:tcW w:w="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101(A)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2,229</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93(A)(B)(I)</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35"/>
              <w:spacing w:after="0"/>
              <w:rPr>
                <w:sz w:val="20"/>
                <w:szCs w:val="20"/>
                <w:color w:val="auto"/>
              </w:rPr>
            </w:pPr>
            <w:r>
              <w:rPr>
                <w:rFonts w:ascii="Arial" w:cs="Arial" w:eastAsia="Arial" w:hAnsi="Arial"/>
                <w:sz w:val="17"/>
                <w:szCs w:val="17"/>
                <w:color w:val="auto"/>
              </w:rPr>
              <w:t>(3)(I)</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2,493</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(70)(B)(I)(K)</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2,423</w:t>
            </w: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6,266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2,400</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2,481</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35"/>
              <w:spacing w:after="0"/>
              <w:rPr>
                <w:sz w:val="20"/>
                <w:szCs w:val="20"/>
                <w:color w:val="auto"/>
              </w:rPr>
            </w:pPr>
            <w:r>
              <w:rPr>
                <w:rFonts w:ascii="Arial" w:cs="Arial" w:eastAsia="Arial" w:hAnsi="Arial"/>
                <w:sz w:val="17"/>
                <w:szCs w:val="17"/>
                <w:color w:val="auto"/>
              </w:rPr>
              <w:t>225(C)</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2,408</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95"/>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2,264</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8"/>
                <w:szCs w:val="18"/>
                <w:color w:val="auto"/>
              </w:rPr>
            </w:pPr>
          </w:p>
        </w:tc>
        <w:tc>
          <w:tcPr>
            <w:tcW w:w="1600" w:type="dxa"/>
            <w:vAlign w:val="bottom"/>
            <w:gridSpan w:val="2"/>
          </w:tcPr>
          <w:p>
            <w:pPr>
              <w:jc w:val="right"/>
              <w:ind w:right="455"/>
              <w:spacing w:after="0"/>
              <w:rPr>
                <w:sz w:val="20"/>
                <w:szCs w:val="20"/>
                <w:color w:val="auto"/>
              </w:rPr>
            </w:pPr>
            <w:r>
              <w:rPr>
                <w:rFonts w:ascii="Arial" w:cs="Arial" w:eastAsia="Arial" w:hAnsi="Arial"/>
                <w:sz w:val="17"/>
                <w:szCs w:val="17"/>
                <w:color w:val="auto"/>
              </w:rPr>
              <w:t>(72)(D)</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695"/>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YEAR ENDED DECEMBER 31, 2011</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835"/>
              <w:spacing w:after="0"/>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Adjustments</w:t>
            </w:r>
          </w:p>
        </w:tc>
        <w:tc>
          <w:tcPr>
            <w:tcW w:w="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17,444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195(A)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17,639</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4,639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ind w:left="500"/>
              <w:spacing w:after="0"/>
              <w:rPr>
                <w:sz w:val="20"/>
                <w:szCs w:val="20"/>
                <w:color w:val="auto"/>
              </w:rPr>
            </w:pPr>
            <w:r>
              <w:rPr>
                <w:rFonts w:ascii="Arial" w:cs="Arial" w:eastAsia="Arial" w:hAnsi="Arial"/>
                <w:sz w:val="17"/>
                <w:szCs w:val="17"/>
                <w:color w:val="auto"/>
              </w:rPr>
              <w:t>208(A)(B)(I)</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(4)(I)</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2,614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120" w:type="dxa"/>
            <w:vAlign w:val="bottom"/>
          </w:tcPr>
          <w:p>
            <w:pPr>
              <w:spacing w:after="0"/>
              <w:rPr>
                <w:sz w:val="18"/>
                <w:szCs w:val="18"/>
                <w:color w:val="auto"/>
              </w:rPr>
            </w:pPr>
          </w:p>
        </w:tc>
        <w:tc>
          <w:tcPr>
            <w:tcW w:w="154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—(B)(I)</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5,894</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13,824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w w:val="77"/>
              </w:rPr>
              <w:t>204</w:t>
            </w: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3,620</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3,611</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154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449(C)</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54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(458)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3,210</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8"/>
                <w:szCs w:val="18"/>
                <w:color w:val="auto"/>
              </w:rPr>
            </w:pPr>
          </w:p>
        </w:tc>
        <w:tc>
          <w:tcPr>
            <w:tcW w:w="1540" w:type="dxa"/>
            <w:vAlign w:val="bottom"/>
            <w:gridSpan w:val="2"/>
          </w:tcPr>
          <w:p>
            <w:pPr>
              <w:jc w:val="right"/>
              <w:ind w:right="415"/>
              <w:spacing w:after="0"/>
              <w:rPr>
                <w:sz w:val="20"/>
                <w:szCs w:val="20"/>
                <w:color w:val="auto"/>
              </w:rPr>
            </w:pPr>
            <w:r>
              <w:rPr>
                <w:rFonts w:ascii="Arial" w:cs="Arial" w:eastAsia="Arial" w:hAnsi="Arial"/>
                <w:sz w:val="17"/>
                <w:szCs w:val="17"/>
                <w:color w:val="auto"/>
              </w:rPr>
              <w:t>(170)(D)</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(288)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3,145</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jc w:val="center"/>
              <w:ind w:right="475"/>
              <w:spacing w:after="0"/>
              <w:rPr>
                <w:sz w:val="20"/>
                <w:szCs w:val="20"/>
                <w:color w:val="auto"/>
              </w:rPr>
            </w:pPr>
            <w:r>
              <w:rPr>
                <w:rFonts w:ascii="Arial" w:cs="Arial" w:eastAsia="Arial" w:hAnsi="Arial"/>
                <w:sz w:val="17"/>
                <w:szCs w:val="17"/>
                <w:color w:val="auto"/>
                <w:w w:val="88"/>
              </w:rPr>
              <w:t>(E)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75"/>
              <w:spacing w:after="0"/>
              <w:rPr>
                <w:sz w:val="20"/>
                <w:szCs w:val="20"/>
                <w:color w:val="auto"/>
              </w:rPr>
            </w:pPr>
            <w:r>
              <w:rPr>
                <w:rFonts w:ascii="Arial" w:cs="Arial" w:eastAsia="Arial" w:hAnsi="Arial"/>
                <w:sz w:val="17"/>
                <w:szCs w:val="17"/>
                <w:color w:val="auto"/>
                <w:w w:val="91"/>
              </w:rPr>
              <w:t>(F)</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AS OF JUNE 30, 2012</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(Dollars in Millions)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675"/>
              <w:spacing w:after="0"/>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Historical</w:t>
            </w:r>
          </w:p>
        </w:tc>
        <w:tc>
          <w:tcPr>
            <w:tcW w:w="1500" w:type="dxa"/>
            <w:vAlign w:val="bottom"/>
            <w:gridSpan w:val="3"/>
          </w:tcPr>
          <w:p>
            <w:pPr>
              <w:jc w:val="right"/>
              <w:ind w:right="615"/>
              <w:spacing w:after="0"/>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Forma</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315"/>
              <w:spacing w:after="0"/>
              <w:rPr>
                <w:sz w:val="20"/>
                <w:szCs w:val="20"/>
                <w:color w:val="auto"/>
              </w:rPr>
            </w:pPr>
            <w:r>
              <w:rPr>
                <w:rFonts w:ascii="Arial" w:cs="Arial" w:eastAsia="Arial" w:hAnsi="Arial"/>
                <w:sz w:val="17"/>
                <w:szCs w:val="17"/>
                <w:color w:val="auto"/>
              </w:rPr>
              <w:t>7,125(G)</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18"/>
                <w:szCs w:val="18"/>
                <w:color w:val="auto"/>
              </w:rPr>
            </w:pPr>
          </w:p>
        </w:tc>
        <w:tc>
          <w:tcPr>
            <w:tcW w:w="1380" w:type="dxa"/>
            <w:vAlign w:val="bottom"/>
            <w:gridSpan w:val="2"/>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863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7,125</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2,092</w:t>
            </w:r>
          </w:p>
        </w:tc>
        <w:tc>
          <w:tcPr>
            <w:tcW w:w="120" w:type="dxa"/>
            <w:vAlign w:val="bottom"/>
          </w:tcPr>
          <w:p>
            <w:pPr>
              <w:spacing w:after="0"/>
              <w:rPr>
                <w:sz w:val="18"/>
                <w:szCs w:val="18"/>
                <w:color w:val="auto"/>
              </w:rPr>
            </w:pPr>
          </w:p>
        </w:tc>
        <w:tc>
          <w:tcPr>
            <w:tcW w:w="1380" w:type="dxa"/>
            <w:vAlign w:val="bottom"/>
            <w:gridSpan w:val="2"/>
          </w:tcPr>
          <w:p>
            <w:pPr>
              <w:jc w:val="right"/>
              <w:ind w:right="375"/>
              <w:spacing w:after="0"/>
              <w:rPr>
                <w:sz w:val="20"/>
                <w:szCs w:val="20"/>
                <w:color w:val="auto"/>
              </w:rPr>
            </w:pPr>
            <w:r>
              <w:rPr>
                <w:rFonts w:ascii="Arial" w:cs="Arial" w:eastAsia="Arial" w:hAnsi="Arial"/>
                <w:sz w:val="17"/>
                <w:szCs w:val="17"/>
                <w:color w:val="auto"/>
              </w:rPr>
              <w:t>49(J)</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5,974</w:t>
            </w:r>
          </w:p>
        </w:tc>
        <w:tc>
          <w:tcPr>
            <w:tcW w:w="120" w:type="dxa"/>
            <w:vAlign w:val="bottom"/>
          </w:tcPr>
          <w:p>
            <w:pPr>
              <w:spacing w:after="0"/>
              <w:rPr>
                <w:sz w:val="18"/>
                <w:szCs w:val="18"/>
                <w:color w:val="auto"/>
              </w:rPr>
            </w:pPr>
          </w:p>
        </w:tc>
        <w:tc>
          <w:tcPr>
            <w:tcW w:w="1380" w:type="dxa"/>
            <w:vAlign w:val="bottom"/>
            <w:gridSpan w:val="2"/>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5,974</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564(G)(I)</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17,710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7,738</w:t>
            </w:r>
          </w:p>
        </w:tc>
        <w:tc>
          <w:tcPr>
            <w:tcW w:w="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1380" w:type="dxa"/>
            <w:vAlign w:val="bottom"/>
            <w:gridSpan w:val="2"/>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1,495</w:t>
            </w:r>
          </w:p>
        </w:tc>
        <w:tc>
          <w:tcPr>
            <w:tcW w:w="120" w:type="dxa"/>
            <w:vAlign w:val="bottom"/>
          </w:tcPr>
          <w:p>
            <w:pPr>
              <w:spacing w:after="0"/>
              <w:rPr>
                <w:sz w:val="18"/>
                <w:szCs w:val="18"/>
                <w:color w:val="auto"/>
              </w:rPr>
            </w:pPr>
          </w:p>
        </w:tc>
        <w:tc>
          <w:tcPr>
            <w:tcW w:w="1380" w:type="dxa"/>
            <w:vAlign w:val="bottom"/>
            <w:gridSpan w:val="2"/>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1,495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2,569</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15,700(C)(G)</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15,700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1,365</w:t>
            </w:r>
          </w:p>
        </w:tc>
        <w:tc>
          <w:tcPr>
            <w:tcW w:w="120" w:type="dxa"/>
            <w:vAlign w:val="bottom"/>
          </w:tcPr>
          <w:p>
            <w:pPr>
              <w:spacing w:after="0"/>
              <w:rPr>
                <w:sz w:val="18"/>
                <w:szCs w:val="18"/>
                <w:color w:val="auto"/>
              </w:rPr>
            </w:pPr>
          </w:p>
        </w:tc>
        <w:tc>
          <w:tcPr>
            <w:tcW w:w="1380" w:type="dxa"/>
            <w:vAlign w:val="bottom"/>
            <w:gridSpan w:val="2"/>
          </w:tcPr>
          <w:p>
            <w:pPr>
              <w:jc w:val="right"/>
              <w:ind w:right="375"/>
              <w:spacing w:after="0"/>
              <w:rPr>
                <w:sz w:val="20"/>
                <w:szCs w:val="20"/>
                <w:color w:val="auto"/>
              </w:rPr>
            </w:pPr>
            <w:r>
              <w:rPr>
                <w:rFonts w:ascii="Arial" w:cs="Arial" w:eastAsia="Arial" w:hAnsi="Arial"/>
                <w:sz w:val="17"/>
                <w:szCs w:val="17"/>
                <w:color w:val="auto"/>
              </w:rPr>
              <w:t>1,057(I)</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2,422</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93"/>
              </w:rPr>
              <w:t>(H)</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315"/>
              <w:spacing w:after="0"/>
              <w:rPr>
                <w:sz w:val="20"/>
                <w:szCs w:val="20"/>
                <w:color w:val="auto"/>
              </w:rPr>
            </w:pPr>
            <w:r>
              <w:rPr>
                <w:rFonts w:ascii="Arial" w:cs="Arial" w:eastAsia="Arial" w:hAnsi="Arial"/>
                <w:sz w:val="17"/>
                <w:szCs w:val="17"/>
                <w:color w:val="auto"/>
              </w:rPr>
              <w:t>3,812(H)</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3,812</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(11,831)(H)</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8"/>
                <w:szCs w:val="18"/>
                <w:color w:val="auto"/>
              </w:rPr>
            </w:pPr>
          </w:p>
        </w:tc>
        <w:tc>
          <w:tcPr>
            <w:tcW w:w="1380" w:type="dxa"/>
            <w:vAlign w:val="bottom"/>
            <w:gridSpan w:val="2"/>
          </w:tcPr>
          <w:p>
            <w:pPr>
              <w:jc w:val="right"/>
              <w:ind w:right="315"/>
              <w:spacing w:after="0"/>
              <w:rPr>
                <w:sz w:val="20"/>
                <w:szCs w:val="20"/>
                <w:color w:val="auto"/>
              </w:rPr>
            </w:pPr>
            <w:r>
              <w:rPr>
                <w:rFonts w:ascii="Arial" w:cs="Arial" w:eastAsia="Arial" w:hAnsi="Arial"/>
                <w:sz w:val="17"/>
                <w:szCs w:val="17"/>
                <w:color w:val="auto"/>
              </w:rPr>
              <w:t>(1,000)(I)</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(1,326)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7,738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25,448</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5"/>
        <w:spacing w:after="0" w:line="262" w:lineRule="auto"/>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Reflects the effect of the actual finished goods supply agreements and contract manufacturing agreements that AbbVie and Abbott will enter into prior to separation. The financial terms are not expected to change. The revenue adjustment reflects the revenue that AbbVie will record for product manufactured and sold to Abbott under these arrangements. Pricing under these arrangements will reflect AbbVie's costs plus a manufacturing profit. The Cost of products sold adjustment reflects the costs incurred to manufacture certain products for Abbott as well as an adjustment for certain manufacturing costs previously allocated to other Abbott businesses that will not be charged to Abbott under the supply and manufacturing agreements. Historically, inventory transfers between AbbVie and Abbott were recorded at cost.</w:t>
      </w:r>
    </w:p>
    <w:p>
      <w:pPr>
        <w:spacing w:after="0" w:line="214" w:lineRule="exact"/>
        <w:rPr>
          <w:rFonts w:ascii="Arial" w:cs="Arial" w:eastAsia="Arial" w:hAnsi="Arial"/>
          <w:sz w:val="17"/>
          <w:szCs w:val="17"/>
          <w:color w:val="auto"/>
        </w:rPr>
      </w:pPr>
    </w:p>
    <w:p>
      <w:pPr>
        <w:ind w:left="520" w:right="120" w:hanging="515"/>
        <w:spacing w:after="0" w:line="270" w:lineRule="auto"/>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Reflects $11 million for 2011 and $6 million for the six months of 2012 for the difference in costs to be incurred by AbbVie for the services to be provided by Abbott or AbbVie to the other party under the actual transition services agreements that AbbVie and Abbott will enter into prior to separation. The financial terms are not expected to change.</w:t>
      </w:r>
    </w:p>
    <w:p>
      <w:pPr>
        <w:spacing w:after="0" w:line="192" w:lineRule="exact"/>
        <w:rPr>
          <w:rFonts w:ascii="Arial" w:cs="Arial" w:eastAsia="Arial" w:hAnsi="Arial"/>
          <w:sz w:val="17"/>
          <w:szCs w:val="17"/>
          <w:color w:val="auto"/>
        </w:rPr>
      </w:pPr>
    </w:p>
    <w:p>
      <w:pPr>
        <w:ind w:left="520" w:right="20" w:hanging="515"/>
        <w:spacing w:after="0" w:line="246" w:lineRule="auto"/>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Reflects interest expense related to approximately $15.7 billion in debt that AbbVie expects to incur through a combination of some or all of the following: long-term and short-term debt issuances and borrowings under bank credit facilities. AbbVie also expects to enter into interest rate swaps on a certain portion of the debt to convert its fixed interest rates to floating rates. In the unaudited pro forma combined financial statements, AbbVie has assumed that all of the debt is long-term. The actual maturity mix of the debt will depend on a number of factors, including market conditions at the time that the debt is incurred. Based on AbbVie's currently expected debt rating, the weighted-average interest rate on the debt is expected to be approximately 2.8%. The interest rate reflects the impact of interest rate swaps on a portion of the debt. Interest expense was calculated assuming constant debt levels throughout the periods. Interest expense may be higher or lower if AbbVie's actual interest rate or credit ratings change. The actual interest rate will depend on market conditions when the debt is issued and the final debt structure. A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8</w:t>
      </w:r>
      <w:r>
        <w:rPr>
          <w:rFonts w:ascii="Arial" w:cs="Arial" w:eastAsia="Arial" w:hAnsi="Arial"/>
          <w:sz w:val="17"/>
          <w:szCs w:val="17"/>
          <w:color w:val="auto"/>
        </w:rPr>
        <w:t>% change to the annual interest rate would change interest expense by approximately $20 million on an annual basis.</w:t>
      </w:r>
    </w:p>
    <w:p>
      <w:pPr>
        <w:spacing w:after="0" w:line="217" w:lineRule="exact"/>
        <w:rPr>
          <w:rFonts w:ascii="Arial" w:cs="Arial" w:eastAsia="Arial" w:hAnsi="Arial"/>
          <w:sz w:val="17"/>
          <w:szCs w:val="17"/>
          <w:color w:val="auto"/>
        </w:rPr>
      </w:pPr>
    </w:p>
    <w:p>
      <w:pPr>
        <w:ind w:left="520" w:hanging="515"/>
        <w:spacing w:after="0"/>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Reflects the tax effects of the pro forma adjustments at the applicable statutory income tax rates.</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number of AbbVie shares used to compute basic earnings per share for the year ended December 31, 2011 and for the six months ended June 30, 2012 is</w:t>
      </w:r>
    </w:p>
    <w:p>
      <w:pPr>
        <w:spacing w:after="0" w:line="43"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5"/>
          <w:szCs w:val="15"/>
          <w:color w:val="auto"/>
        </w:rPr>
        <w:t>based on the number of shares of AbbVie common stock assumed to be outstanding on the distribution date, based on the number of Abbott common shares</w:t>
      </w:r>
    </w:p>
    <w:p>
      <w:pPr>
        <w:spacing w:after="0" w:line="247" w:lineRule="exact"/>
        <w:rPr>
          <w:sz w:val="20"/>
          <w:szCs w:val="20"/>
          <w:color w:val="auto"/>
        </w:rPr>
      </w:pPr>
    </w:p>
    <w:p>
      <w:pPr>
        <w:ind w:left="520" w:right="400"/>
        <w:spacing w:after="0" w:line="261" w:lineRule="auto"/>
        <w:rPr>
          <w:sz w:val="20"/>
          <w:szCs w:val="20"/>
          <w:color w:val="auto"/>
        </w:rPr>
      </w:pPr>
      <w:r>
        <w:rPr>
          <w:rFonts w:ascii="Arial" w:cs="Arial" w:eastAsia="Arial" w:hAnsi="Arial"/>
          <w:sz w:val="17"/>
          <w:szCs w:val="17"/>
          <w:color w:val="auto"/>
        </w:rPr>
        <w:t>outstanding on December 31, 2011 and June 30, 2012, respectively, assuming a distribution ratio of shares [s] of AbbVie common stock for Abbott common shares outstanding. The number of Abbott shares used to determine the assumed distribution reflects the Abbott shares</w:t>
      </w:r>
    </w:p>
    <w:p>
      <w:pPr>
        <w:ind w:left="520"/>
        <w:spacing w:after="0"/>
        <w:rPr>
          <w:sz w:val="20"/>
          <w:szCs w:val="20"/>
          <w:color w:val="auto"/>
        </w:rPr>
      </w:pPr>
      <w:r>
        <w:rPr>
          <w:rFonts w:ascii="Arial" w:cs="Arial" w:eastAsia="Arial" w:hAnsi="Arial"/>
          <w:sz w:val="17"/>
          <w:szCs w:val="17"/>
          <w:color w:val="auto"/>
        </w:rPr>
        <w:t>outstanding as of each balance sheet date, which is the most current information as of the date of those financial statements.</w:t>
      </w:r>
    </w:p>
    <w:p>
      <w:pPr>
        <w:spacing w:after="0" w:line="231" w:lineRule="exact"/>
        <w:rPr>
          <w:sz w:val="20"/>
          <w:szCs w:val="20"/>
          <w:color w:val="auto"/>
        </w:rPr>
      </w:pPr>
    </w:p>
    <w:p>
      <w:pPr>
        <w:ind w:left="520" w:right="420" w:hanging="515"/>
        <w:spacing w:after="0" w:line="282" w:lineRule="auto"/>
        <w:tabs>
          <w:tab w:leader="none" w:pos="5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AbbVie common stock as described in Note E above, plus incremental shares assuming exercise of dilutive outstanding options and restricted stock awards.</w:t>
      </w:r>
    </w:p>
    <w:p>
      <w:pPr>
        <w:spacing w:after="0" w:line="182" w:lineRule="exact"/>
        <w:rPr>
          <w:rFonts w:ascii="Arial" w:cs="Arial" w:eastAsia="Arial" w:hAnsi="Arial"/>
          <w:sz w:val="17"/>
          <w:szCs w:val="17"/>
          <w:color w:val="auto"/>
        </w:rPr>
      </w:pPr>
    </w:p>
    <w:p>
      <w:pPr>
        <w:ind w:left="520" w:right="120" w:hanging="515"/>
        <w:spacing w:after="0" w:line="265" w:lineRule="auto"/>
        <w:tabs>
          <w:tab w:leader="none" w:pos="5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Reflects the issuance of approximately $15.7 billion in debt, less debt issuance costs of $62 million and the net distribution of approximately $8.5 billion cash to Abbott. In conjunction with the formation of new AbbVie entities in various countries, Abbott will contribute approximately $4.7 billion of cash to these entities. The combination of the cash contributed by Abbott and the funds raised in the debt issuance will allow AbbVie to distribute $13.2 billion to Abbott prior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separation and to begin its operation as an independent company with approximately $7.2 billion of cash.</w:t>
      </w:r>
    </w:p>
    <w:p>
      <w:pPr>
        <w:spacing w:after="0" w:line="237" w:lineRule="exact"/>
        <w:rPr>
          <w:sz w:val="20"/>
          <w:szCs w:val="20"/>
          <w:color w:val="auto"/>
        </w:rPr>
      </w:pPr>
    </w:p>
    <w:p>
      <w:pPr>
        <w:ind w:left="520" w:hanging="515"/>
        <w:spacing w:after="0" w:line="296" w:lineRule="auto"/>
        <w:tabs>
          <w:tab w:leader="none" w:pos="5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On the distribution date, Abbott's net investment in AbbVie will be redesignated as AbbVie Shareholders' Equity and will be allocated between common stock and additional paid in capital based on the number of shares of AbbVie common stock outstanding at the distribution date. The cash distribution described in</w:t>
      </w:r>
    </w:p>
    <w:p>
      <w:pPr>
        <w:ind w:left="800" w:hanging="271"/>
        <w:spacing w:after="0"/>
        <w:tabs>
          <w:tab w:leader="none" w:pos="8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will reduce Abbott's net investment in AbbVie prior to the redesignation of the investment as AbbVie Shareholders' Equity.</w:t>
      </w:r>
    </w:p>
    <w:p>
      <w:pPr>
        <w:spacing w:after="0" w:line="244" w:lineRule="exact"/>
        <w:rPr>
          <w:rFonts w:ascii="Arial" w:cs="Arial" w:eastAsia="Arial" w:hAnsi="Arial"/>
          <w:sz w:val="17"/>
          <w:szCs w:val="17"/>
          <w:color w:val="auto"/>
        </w:rPr>
      </w:pPr>
    </w:p>
    <w:p>
      <w:pPr>
        <w:ind w:left="520" w:right="200" w:hanging="515"/>
        <w:spacing w:after="0" w:line="352" w:lineRule="auto"/>
        <w:tabs>
          <w:tab w:leader="none" w:pos="5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Reflects $1.057 billion of liabilities and $502 million of assets related to the net retirement obligations and associated deferred taxes that are expected to be transferred to AbbVie. The transfer would have reduced operating expenses by $17 million for the first six months of 2012 and $21 million for 2011.</w:t>
      </w:r>
    </w:p>
    <w:p>
      <w:pPr>
        <w:spacing w:after="0" w:line="136" w:lineRule="exact"/>
        <w:rPr>
          <w:rFonts w:ascii="Arial" w:cs="Arial" w:eastAsia="Arial" w:hAnsi="Arial"/>
          <w:sz w:val="15"/>
          <w:szCs w:val="15"/>
          <w:color w:val="auto"/>
        </w:rPr>
      </w:pPr>
    </w:p>
    <w:p>
      <w:pPr>
        <w:ind w:left="520" w:hanging="515"/>
        <w:spacing w:after="0" w:line="294" w:lineRule="auto"/>
        <w:tabs>
          <w:tab w:leader="none" w:pos="5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Reflects various corporate and other assets and liabilities to be transferred to AbbVie. These will include a portion of shared information technology assets. There may be additional information technology assets to be transferred to AbbVie at separation for which the transfer has not been finalized. Depreciation on the assets to be transferred to AbbVie was previously charged to AbbVie through allocations from Abbott corporate functions.</w:t>
      </w:r>
    </w:p>
    <w:p>
      <w:pPr>
        <w:spacing w:after="0" w:line="162" w:lineRule="exact"/>
        <w:rPr>
          <w:rFonts w:ascii="Arial" w:cs="Arial" w:eastAsia="Arial" w:hAnsi="Arial"/>
          <w:sz w:val="16"/>
          <w:szCs w:val="16"/>
          <w:color w:val="auto"/>
        </w:rPr>
      </w:pPr>
    </w:p>
    <w:p>
      <w:pPr>
        <w:jc w:val="both"/>
        <w:ind w:left="520" w:right="60"/>
        <w:spacing w:after="0" w:line="270" w:lineRule="auto"/>
        <w:rPr>
          <w:rFonts w:ascii="Arial" w:cs="Arial" w:eastAsia="Arial" w:hAnsi="Arial"/>
          <w:sz w:val="16"/>
          <w:szCs w:val="16"/>
          <w:color w:val="auto"/>
        </w:rPr>
      </w:pPr>
      <w:r>
        <w:rPr>
          <w:rFonts w:ascii="Arial" w:cs="Arial" w:eastAsia="Arial" w:hAnsi="Arial"/>
          <w:sz w:val="17"/>
          <w:szCs w:val="17"/>
          <w:color w:val="auto"/>
        </w:rPr>
        <w:t>The pro forma adjustments do not include adjustments for lease agreements that AbbVie and Abbott will enter into prior to the distribution pursuant to which AbbVie will lease certain office, warehouse and manufacturing space, including a portion of Abbott Park. AbbVie estimates that it will record a capital lease liability and a corresponding lease asset of approximately $25 million related to the Abbott Park space.</w:t>
      </w:r>
    </w:p>
    <w:p>
      <w:pPr>
        <w:spacing w:after="0" w:line="192" w:lineRule="exact"/>
        <w:rPr>
          <w:rFonts w:ascii="Arial" w:cs="Arial" w:eastAsia="Arial" w:hAnsi="Arial"/>
          <w:sz w:val="16"/>
          <w:szCs w:val="16"/>
          <w:color w:val="auto"/>
        </w:rPr>
      </w:pPr>
    </w:p>
    <w:p>
      <w:pPr>
        <w:jc w:val="center"/>
        <w:ind w:left="5620" w:right="80" w:hanging="5615"/>
        <w:spacing w:after="0" w:line="540" w:lineRule="auto"/>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Reflects the removal of $67 million of separation costs incurred during the historical period that are directly related to the separation of AbbVie from Abbott.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HISTORICAL COMBINED FINANCIAL DATA</w:t>
      </w:r>
    </w:p>
    <w:p>
      <w:pPr>
        <w:spacing w:after="0" w:line="228" w:lineRule="exact"/>
        <w:rPr>
          <w:sz w:val="20"/>
          <w:szCs w:val="20"/>
          <w:color w:val="auto"/>
        </w:rPr>
      </w:pPr>
    </w:p>
    <w:p>
      <w:pPr>
        <w:ind w:right="100" w:firstLine="338"/>
        <w:spacing w:after="0" w:line="294" w:lineRule="auto"/>
        <w:rPr>
          <w:sz w:val="20"/>
          <w:szCs w:val="20"/>
          <w:color w:val="auto"/>
        </w:rPr>
      </w:pPr>
      <w:r>
        <w:rPr>
          <w:rFonts w:ascii="Arial" w:cs="Arial" w:eastAsia="Arial" w:hAnsi="Arial"/>
          <w:sz w:val="15"/>
          <w:szCs w:val="15"/>
          <w:color w:val="auto"/>
        </w:rPr>
        <w:t>The following table sets forth AbbVie's selected financial information derived from its (i) unaudited combined financial statements as of December 31, 2009, 2008 and 2007 and for the years ended December 31, 2008 and 2007, which are not included in this information statement; (ii) audited combined financial statements as of December 31, 2011 and 2010 and for the years ended December 31, 2011, 2010 and 2009, which are included elsewhere in this information statement;</w:t>
      </w:r>
    </w:p>
    <w:p>
      <w:pPr>
        <w:spacing w:after="0" w:line="1" w:lineRule="exact"/>
        <w:rPr>
          <w:sz w:val="20"/>
          <w:szCs w:val="20"/>
          <w:color w:val="auto"/>
        </w:rPr>
      </w:pPr>
    </w:p>
    <w:p>
      <w:pPr>
        <w:ind w:right="180" w:firstLine="5"/>
        <w:spacing w:after="0" w:line="284" w:lineRule="auto"/>
        <w:tabs>
          <w:tab w:leader="none" w:pos="29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unaudited interim combined financial statements as of June 30, 2012 and for the six months ended June 30, 2012 and 2011, which are included elsewhere in this information statement; and (iv) unaudited interim combined balance sheet as of June 30, 2011, which is not included in this information statement. The historical financial information presented may not be indicative of the results of operations or financial position that would have been obtained if AbbVie had been an independent company during the periods shown or of AbbVie's future performance as an independent company.</w:t>
      </w:r>
    </w:p>
    <w:p>
      <w:pPr>
        <w:spacing w:after="0" w:line="17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selected financial information should be read in conjunction with "Management's Discussion and Analysis of Financial Condition and Results of Operations," the unaudited pro forma combined financial statements and the corresponding notes included elsewhere in this information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For the Six</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4"/>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20" w:type="dxa"/>
            <w:vAlign w:val="bottom"/>
            <w:gridSpan w:val="3"/>
          </w:tcPr>
          <w:p>
            <w:pPr>
              <w:jc w:val="center"/>
              <w:ind w:left="446"/>
              <w:spacing w:after="0" w:line="144" w:lineRule="exact"/>
              <w:rPr>
                <w:sz w:val="20"/>
                <w:szCs w:val="20"/>
                <w:color w:val="auto"/>
              </w:rPr>
            </w:pPr>
            <w:r>
              <w:rPr>
                <w:rFonts w:ascii="Arial" w:cs="Arial" w:eastAsia="Arial" w:hAnsi="Arial"/>
                <w:sz w:val="13"/>
                <w:szCs w:val="13"/>
                <w:b w:val="1"/>
                <w:bCs w:val="1"/>
                <w:color w:val="auto"/>
                <w:w w:val="90"/>
              </w:rPr>
              <w:t>Months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w w:val="99"/>
              </w:rPr>
              <w:t>For the Years Ended December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jc w:val="right"/>
              <w:ind w:right="3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   8,666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w w:val="93"/>
              </w:rPr>
              <w:t>$  17,444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15,638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14,179</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12,236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Earnings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3,433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Combined Balance Sheet Data: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21,351</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19,657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15,858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15,669</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i w:val="1"/>
          <w:iCs w:val="1"/>
          <w:color w:val="auto"/>
        </w:rPr>
        <w:t>You should read the following discussion in conjunction with the audited combined financial statements and the corresponding notes, the unaudited interim condensed combined financial statements and the corresponding notes, and the unaudited pro forma combined financial statements and the corresponding notes included elsewhere in this information statement. This Management's Discussion and Analysis of Financial Condition and Results of Operations contains forward-looking statements. The matters discussed in these forward-looking statements are subject to risk, uncertainties, and other factors that could cause actual results to differ materially from those made, projected or implied in the forward-looking statements. Please see "Risk Factors" and "Cautionary Statement Concerning Forward-Looking Statements" for a discussion of the uncertainties, risks and assumptions associated with these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from Abbott</w:t>
      </w:r>
    </w:p>
    <w:p>
      <w:pPr>
        <w:spacing w:after="0" w:line="228"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On October 19, 2011, Abbott announced its plan to separate into two independent publicly traded companies, one in diversified medical products and the other in research-based pharmaceuticals. For purposes of this discussion, AbbVie refers to the research-based pharmaceuticals business of Abbott prior to separation. To accomplish this separation, Abbott created a new company,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See "The Separation and Distribution" section of this information statement for additional details on these conditions. After the distribution, AbbVie Inc. will operate as an independent, publicly-traded company.</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AbbVie's products are materially consistent with the products sold by Abbott's Proprietary Pharmaceutical Products segment as reported in Abbott's annual report on Form 10-K for the year ended December 31, 2011. In addition, AbbVie's sales include Abbott's contract manufacturing of pharmaceutical products. AbbVie's historical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87"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investments and restricted funds held by Abbott were not allocated to AbbVie unless the cash or investments were held by an entity that is expected to be transferred to AbbVie. Long-term debt and short-term borrowings were not allocated to AbbVie as none of the debt recorded by Abbott is directly attributable to or guaranteed by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combined statement of cash flow as a financing activity and in the combined balance sheet as Net parent company investment in AbbVie.</w:t>
      </w:r>
    </w:p>
    <w:p>
      <w:pPr>
        <w:spacing w:after="0" w:line="175"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AbbVie been a separate, stand-alone entity and may not necessarily reflect AbbVie's results of operations, financial position and cash flows had AbbVie been a stand-alone company during the periods presented. AbbVie's historical financial statements include an allocation of expenses related to certain Abbott corporate functions, including senior management, legal, human resources, finance, information technology, and quality assurance. These expenses have been allocated to AbbVie based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expenses that would have been incurred had AbbVie operated as an independent, publicly-traded company for the periods presented.</w:t>
      </w:r>
    </w:p>
    <w:p>
      <w:pPr>
        <w:spacing w:after="0" w:line="163" w:lineRule="exact"/>
        <w:rPr>
          <w:sz w:val="20"/>
          <w:szCs w:val="20"/>
          <w:color w:val="auto"/>
        </w:rPr>
      </w:pPr>
    </w:p>
    <w:p>
      <w:pPr>
        <w:ind w:right="220" w:firstLine="332"/>
        <w:spacing w:after="0" w:line="270" w:lineRule="auto"/>
        <w:rPr>
          <w:sz w:val="20"/>
          <w:szCs w:val="20"/>
          <w:color w:val="auto"/>
        </w:rPr>
      </w:pPr>
      <w:r>
        <w:rPr>
          <w:rFonts w:ascii="Arial" w:cs="Arial" w:eastAsia="Arial" w:hAnsi="Arial"/>
          <w:sz w:val="17"/>
          <w:szCs w:val="17"/>
          <w:color w:val="auto"/>
        </w:rPr>
        <w:t>AbbVie expects to incur additional costs associated with being an independent, publicly-traded company, primarily from higher charges than in the past from Abbott for various services that will continue to be provided on a transition basis and from newly established or expanded corporate functions. AbbVie believes that cash flow from operations will be sufficient to fund these additional corporate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228" w:lineRule="exact"/>
        <w:rPr>
          <w:sz w:val="20"/>
          <w:szCs w:val="20"/>
          <w:color w:val="auto"/>
        </w:rPr>
      </w:pPr>
    </w:p>
    <w:p>
      <w:pPr>
        <w:ind w:right="60" w:firstLine="332"/>
        <w:spacing w:after="0" w:line="281" w:lineRule="auto"/>
        <w:rPr>
          <w:sz w:val="20"/>
          <w:szCs w:val="20"/>
          <w:color w:val="auto"/>
        </w:rPr>
      </w:pPr>
      <w:r>
        <w:rPr>
          <w:rFonts w:ascii="Arial" w:cs="Arial" w:eastAsia="Arial" w:hAnsi="Arial"/>
          <w:sz w:val="16"/>
          <w:szCs w:val="16"/>
          <w:color w:val="auto"/>
        </w:rPr>
        <w:t>AbbVie's revenues are derived primarily from the sale of a broad line of proprietary pharmaceutical products manufactured in AbbVie facilities and by third party manufacturers and sold to customers under short-term receivable arrangements. AbbVie operates in one business segment—pharmaceutical products. Substantially all of AbbVie's U.S. sales are to three wholesalers. Sales in markets outside the U.S. are approximately 45 percent of combined net sales. Patent protection and licenses, efficacy and safety of AbbVie products relative to other pharmaceuticals for a therapeutic category, and inclusion of AbbVie's products under a contract or by a pharmacy benefit manager most impact which products are sold; price controls, competition, and rebates, along with government budgets outside the U.S., most impact the net selling prices of products; and foreign currency translation impacts the measurement of net sales and costs.</w:t>
      </w:r>
    </w:p>
    <w:p>
      <w:pPr>
        <w:spacing w:after="0" w:line="176" w:lineRule="exact"/>
        <w:rPr>
          <w:sz w:val="20"/>
          <w:szCs w:val="20"/>
          <w:color w:val="auto"/>
        </w:rPr>
      </w:pPr>
    </w:p>
    <w:p>
      <w:pPr>
        <w:ind w:right="460" w:firstLine="341"/>
        <w:spacing w:after="0" w:line="265" w:lineRule="auto"/>
        <w:rPr>
          <w:sz w:val="20"/>
          <w:szCs w:val="20"/>
          <w:color w:val="auto"/>
        </w:rPr>
      </w:pPr>
      <w:r>
        <w:rPr>
          <w:rFonts w:ascii="Arial" w:cs="Arial" w:eastAsia="Arial" w:hAnsi="Arial"/>
          <w:sz w:val="17"/>
          <w:szCs w:val="17"/>
          <w:color w:val="auto"/>
        </w:rPr>
        <w:t>Robust growth of HUMIRA in a broad range of indications, the acquisition of Solvay Group S.A.'s U.S. pharmaceuticals business and certain other product rights, the loss of patent protection for some pharmaceutical products, a federal government investigation of AbbVie's sales and marketing activities related to Depakote which has now been settled and the challenging economic environment in many countries around the world have impacted AbbVie's sales, costs and financial position over the last three years.</w:t>
      </w:r>
    </w:p>
    <w:p>
      <w:pPr>
        <w:spacing w:after="0" w:line="185"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In 2003, AbbVie began the worldwide launch of HUMIRA for rheumatoid arthritis, followed by launches for five additional indications, which increased HUMIRA's worldwide sales to $7.9 billion in 2011 compared to $6.5 billion in 2010, and $5.6 billion in 2009. HUMIRA received approval for the treatment of moderately to severely active ulcerative colitis in adult patients who have had an inadequate response to conventional therapy from the European Commission in April 2012 and from the FDA in October 2012. In July 2012, HUMIRA received approval from the European Commission for the treatment of severe axial spondyloarthritis in adult patients who have no X-ray evidence of structural damage. AbbVie forecasts low double-digit growth for worldwide HUMIRA sales in 2012. AbbVie is studying additional indications for HUMIRA. Substantial research and development and selling support has been and continues to be dedicated to maximizing the worldwide potential of HUMIRA.</w:t>
      </w:r>
    </w:p>
    <w:p>
      <w:pPr>
        <w:spacing w:after="0" w:line="190"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acquisition of Solvay's U.S. pharmaceuticals business and certain other product rights for $1.9 billion in February 2010 added several new products, including the U.S. rights to AndroGel and Creon, to AbbVie's portfolio. Increased generic competition resulted in U.S. Depakote sales declining from approximately $330 million in 2009 to approximately $150 million in 2011. Generic competition is expected to begin in the second half of 2012 for TriCor, in the second half of 2013 for Niaspan, and in the second half of 2013 or early 2014 for Trilipix. The decrease in U.S. sales of Zemplar from $592 million in 2009 to $255 million in 2011 reflects the impact of changes in reimbursement regulations resulting from U.S. health care reform legislation. Austerity measures implemented by several European countries reduced health care spending and affected pharmaceuticals pricing in those countries in 2011 and 2010 and the impact is expected to continue in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Research and development is focused on therapeutic areas that include immunology, oncology, neuroscience, pain management, virology, renal disease and women's health. During the last three years, AbbVie acquired the rights to various in-process research and development projects, including the development of second-generation oral antioxidant inflammation modulators, a product for the treatment of chronic kidney disease and an oral, next-generation JAK1 inhibitor with the potential to treat rheumatoid arthritis and other autoimmune diseases. The April 2010 acquisition of Facet Biotech also enhanced AbbVie's early and mid-stage pipeline and included a biologic for multiple sclerosis and an oncology compound.</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2010, the U.S. government passed health care reform legislation which included an increase in Medicaid rebate rates and the extension of the rebate to drugs provided through Medicaid managed care organizations beginning in 2010. The legislation also imposed annual fees which pharmaceuticals manufacturers began paying in 2011, as well as additional rebates related to the Medicare Part D "donut hole" beginning in 2011. The legislation's negative impact on AbbVie's performance grew from more than $200 million in 2010 to approximately $400 million in 2011 and is expected to remain approximately $400 million in 2012. The $400 million in 2011 included approximately $100 million for the annual pharmaceuticals manufacturing fee. This fee is not tax-deductible and is included in Selling, general, and administrative expenses.</w:t>
      </w:r>
    </w:p>
    <w:p>
      <w:pPr>
        <w:spacing w:after="0" w:line="188" w:lineRule="exact"/>
        <w:rPr>
          <w:sz w:val="20"/>
          <w:szCs w:val="20"/>
          <w:color w:val="auto"/>
        </w:rPr>
      </w:pPr>
    </w:p>
    <w:p>
      <w:pPr>
        <w:ind w:right="140" w:firstLine="341"/>
        <w:spacing w:after="0" w:line="311" w:lineRule="auto"/>
        <w:rPr>
          <w:sz w:val="20"/>
          <w:szCs w:val="20"/>
          <w:color w:val="auto"/>
        </w:rPr>
      </w:pPr>
      <w:r>
        <w:rPr>
          <w:rFonts w:ascii="Arial" w:cs="Arial" w:eastAsia="Arial" w:hAnsi="Arial"/>
          <w:sz w:val="15"/>
          <w:szCs w:val="15"/>
          <w:color w:val="auto"/>
        </w:rPr>
        <w:t>During the next few years, AbbVie will focus on several key initiatives. AbbVie will continue maximizing the market potential of HUMIRA and other products, including AndroGel, Lupron, Synthroid, and Creon as well as advancing its research and development pipeline and investing in emerging markets. Research and development efforts will continue to focus a significant portion of expenditures on compounds for immunology, oncology, neuroscience, pain management, virology, renal disease and women's health. Current research and development projects are described in the "Research and Development Programs" section below.</w:t>
      </w:r>
    </w:p>
    <w:p>
      <w:pPr>
        <w:spacing w:after="0" w:line="15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Subsequent to the separation, AbbVie expects to incur one-time costs primarily to establish certain stand-alone AbbVie functions and information technology systems, further establish its infrastructure outside the U.S. and to complete the separation in certain countries. A portion of these expenditures will be capitalized and depreciated over the assets' useful lives while the remainder will be expensed as incurred, depending on the nature of the cost. AbbVie expects to fund these costs with cash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Revenue Recognition and Sales Rebates</w:t>
      </w:r>
      <w:r>
        <w:rPr>
          <w:rFonts w:ascii="Arial" w:cs="Arial" w:eastAsia="Arial" w:hAnsi="Arial"/>
          <w:sz w:val="17"/>
          <w:szCs w:val="17"/>
          <w:color w:val="auto"/>
        </w:rPr>
        <w:t>—AbbVie recognizes revenue when persuasive evidence of an arrangement exists, delivery has occurred, the sales price is</w:t>
      </w:r>
      <w:r>
        <w:rPr>
          <w:rFonts w:ascii="Arial" w:cs="Arial" w:eastAsia="Arial" w:hAnsi="Arial"/>
          <w:sz w:val="17"/>
          <w:szCs w:val="17"/>
          <w:i w:val="1"/>
          <w:iCs w:val="1"/>
          <w:color w:val="auto"/>
        </w:rPr>
        <w:t xml:space="preserve"> </w:t>
      </w:r>
      <w:r>
        <w:rPr>
          <w:rFonts w:ascii="Arial" w:cs="Arial" w:eastAsia="Arial" w:hAnsi="Arial"/>
          <w:sz w:val="17"/>
          <w:szCs w:val="17"/>
          <w:color w:val="auto"/>
        </w:rPr>
        <w:t>fixed or determinable, and collectability of the sales price is reasonably assured. Revenue from product sales is recognized when title and risk of loss have passed to the customer.</w:t>
      </w:r>
    </w:p>
    <w:p>
      <w:pPr>
        <w:spacing w:after="0" w:line="179"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Approximately 67 percent of AbbVie's gross revenues are subject to various forms of rebates and allowances that AbbVie records as reductions of revenues at the time of sale. AbbVie provides rebates to pharmacy benefit management companies, state agencies that administer the federal Medicaid program, insurance companies that administer Medicare drug plans, wholesalers, group purchasing organizations, and other government agencies and private entities. Rebate amounts are usually based upon the volume of purchases using contractual or statutory prices for a product. For each type of rebate, the factors used in the calculations of the accrual for that rebate include the identification of which products have been sold subject to the rebate, which customer or government agency price terms apply for that rebate, and the estimated lag time between sale and payment of the rebate. Using historical trends for that rebate, adjusted for current changes, AbbVie estimates the amount of the rebate that will be paid, and records the liability as a reduction of gross sales when AbbVie records its sale of the product. Settlement of the rebate generally occurs from two to eight months after sale. AbbVie regularly analyzes the historical rebate trends and makes adjustments to reserves for changes in trends and terms of rebate programs. Rebates and chargebacks charged against gross sales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2010 and 2009 amounted to approximately $3.7 billion, $3.4 billion and $2.7 billion, respectively, or 25.3 percent, 28.2 percent and 26.0 percent, respectively, based on gross sales of approximately $14.7 billion, $12.1 billion and $10.3 billion, respectively, subject to rebate. A one-percentage point increase in the percentage of rebates to related gross sales would decrease net sales by approximately $147 million in 2011. AbbVie considers a one-percentage point increase to be a reasonably likely increase in the percentage of rebates to related gross sales. Other allowances charged against gross sales were approximately $292 million, $263 million and $215 million for cash discounts in 2011, 2010 and 2009, respectively, and $325 million, $190 million and $128 million for returns in 2011, 2010 and 2009, respectively. Cash discounts can be reliably estimated. Product returns can be reliably estimated because AbbVie's historical returns are low, and because sales returns terms and other sales terms have remained relatively unchanged for several periods.</w:t>
      </w:r>
    </w:p>
    <w:p>
      <w:pPr>
        <w:spacing w:after="0" w:line="175"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Management analyzes the adequacy of ending rebate accrual balances each quarter. In the U.S., the most significant charges against gross sales are for Medicaid and Medicare rebates, pharmacy benefit manager rebates and wholesaler chargebacks. Medicaid rebates relate to the Federal Medicaid program, which is administered by state agencies, whereby rebates are provided to participating state and local government entities under various laws and regulations, and in some cases supplemental rebates are also provided to the states under contractual agreements. Medicare rebates are negotiated with managed care organizations that manage prescription drug plans covering the Medicare Part D drug benefit. Pharmacy benefit manager rebates arise from contractual agreements with private health care plans that seek to reduce costs by negotiating discounts with pharmaceuticals manufacturers. Under wholesaler chargeback programs, the wholesaler charges AbbVie back for the difference between the price paid by the wholesaler to AbbVie and the price paid by the end customer to the wholesaler under contractual discount agreements negotiated between AbbVie and the end customer. In order to evaluate the adequacy of the ending accrual balances, for each type of rebate, management uses both internal and external data to estimate the level of inventory in the distribution channel and the rebate claims processing lag time for that rebate. External data sources used to estimate the inventory in the distribution channel include inventory levels periodically reported by wholesalers. Management estimates the processing lag time based on periodic sampling of claims data. To estimate the price rebate percentage, systems and calculations are used to track sales by product and by customer and to estimate the contractual or statutory price. AbbVie's systems and calculations have developed over time as rebates have become more significant, and AbbVie believes they are reliable.</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is an analysis of the three largest rebate accruals, which comprise approximately 86 percent of the combined rebate provisions charged</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against revenues in 2011. Remaining rebate provisions charged against gross sales are not significant in the determination of operating earnings. (</w:t>
      </w:r>
      <w:r>
        <w:rPr>
          <w:rFonts w:ascii="Arial" w:cs="Arial" w:eastAsia="Arial" w:hAnsi="Arial"/>
          <w:sz w:val="15"/>
          <w:szCs w:val="15"/>
          <w:i w:val="1"/>
          <w:iCs w:val="1"/>
          <w:color w:val="auto"/>
        </w:rPr>
        <w:t>dollars in millions</w:t>
      </w:r>
      <w:r>
        <w:rPr>
          <w:rFonts w:ascii="Arial" w:cs="Arial" w:eastAsia="Arial" w:hAnsi="Arial"/>
          <w:sz w:val="15"/>
          <w:szCs w:val="15"/>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gridSpan w:val="9"/>
          </w:tcPr>
          <w:p>
            <w:pPr>
              <w:ind w:left="340"/>
              <w:spacing w:after="0"/>
              <w:rPr>
                <w:sz w:val="20"/>
                <w:szCs w:val="20"/>
                <w:color w:val="auto"/>
              </w:rPr>
            </w:pPr>
            <w:r>
              <w:rPr>
                <w:rFonts w:ascii="Arial" w:cs="Arial" w:eastAsia="Arial" w:hAnsi="Arial"/>
                <w:sz w:val="13"/>
                <w:szCs w:val="13"/>
                <w:b w:val="1"/>
                <w:bCs w:val="1"/>
                <w:color w:val="auto"/>
              </w:rPr>
              <w:t>U.S. Pharmaceutical Products</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3"/>
              </w:rPr>
              <w:t>Medicaid</w:t>
            </w:r>
          </w:p>
        </w:tc>
        <w:tc>
          <w:tcPr>
            <w:tcW w:w="88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0"/>
              </w:rPr>
              <w:t>Pharmacy</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Benefit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Medicare</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Manager</w:t>
            </w:r>
          </w:p>
        </w:tc>
        <w:tc>
          <w:tcPr>
            <w:tcW w:w="100" w:type="dxa"/>
            <w:vAlign w:val="bottom"/>
          </w:tcPr>
          <w:p>
            <w:pPr>
              <w:spacing w:after="0"/>
              <w:rPr>
                <w:sz w:val="12"/>
                <w:szCs w:val="12"/>
                <w:color w:val="auto"/>
              </w:rPr>
            </w:pPr>
          </w:p>
        </w:tc>
        <w:tc>
          <w:tcPr>
            <w:tcW w:w="2640" w:type="dxa"/>
            <w:vAlign w:val="bottom"/>
            <w:gridSpan w:val="3"/>
          </w:tcPr>
          <w:p>
            <w:pPr>
              <w:jc w:val="center"/>
              <w:ind w:right="1980"/>
              <w:spacing w:after="0" w:line="144" w:lineRule="exact"/>
              <w:rPr>
                <w:sz w:val="20"/>
                <w:szCs w:val="20"/>
                <w:color w:val="auto"/>
              </w:rPr>
            </w:pPr>
            <w:r>
              <w:rPr>
                <w:rFonts w:ascii="Arial" w:cs="Arial" w:eastAsia="Arial" w:hAnsi="Arial"/>
                <w:sz w:val="13"/>
                <w:szCs w:val="13"/>
                <w:b w:val="1"/>
                <w:bCs w:val="1"/>
                <w:color w:val="auto"/>
                <w:w w:val="89"/>
              </w:rPr>
              <w:t>Wholesaler</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Chargebacks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2009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295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(506)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2009</w:t>
            </w: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Payments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7"/>
                <w:szCs w:val="17"/>
                <w:color w:val="auto"/>
                <w:w w:val="90"/>
              </w:rPr>
              <w:t>(617)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634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(899)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2011</w:t>
            </w:r>
          </w:p>
        </w:tc>
        <w:tc>
          <w:tcPr>
            <w:tcW w:w="23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center"/>
              <w:ind w:left="239"/>
              <w:spacing w:after="0"/>
              <w:rPr>
                <w:sz w:val="20"/>
                <w:szCs w:val="20"/>
                <w:color w:val="auto"/>
              </w:rPr>
            </w:pPr>
            <w:r>
              <w:rPr>
                <w:rFonts w:ascii="Arial" w:cs="Arial" w:eastAsia="Arial" w:hAnsi="Arial"/>
                <w:sz w:val="17"/>
                <w:szCs w:val="17"/>
                <w:color w:val="auto"/>
                <w:w w:val="84"/>
              </w:rPr>
              <w:t>720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restart"/>
          </w:tcPr>
          <w:p>
            <w:pPr>
              <w:jc w:val="right"/>
              <w:ind w:right="1075"/>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Historically, adjustments to prior years' rebate accruals have not been material to net income. AbbVie employs various techniques to verify the accuracy of claims submitted to it, and where possible, works with the organizations submitting claims to gain insight into changes that might affect the rebate amounts. For Medicaid, Medicare and other government agency programs, the calculation of a rebate involves interpretations of relevant regulations, which are subject to challenge or change in interpretation.</w:t>
      </w:r>
    </w:p>
    <w:p>
      <w:pPr>
        <w:spacing w:after="0" w:line="185"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—In AbbVie's combined financial statements, income tax expense and deferred tax balances have been calculated on a separate tax return basis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 operates in numerous countries where the tax returns of the Abbott entity of which AbbVie is a part are subject to audits and adjustments. Because AbbVie operates worldwide, the nature of the audit items are often very complex, and the objectives of the government auditors can result in a tax on the same income in more than one country. In accordance with the accounting rules relating to the measurement of tax contingencies, in order to recognize an uncertain tax benefit, the taxpayer must conclude that it will more likely than not sustain the position, and the measurement of the benefit is calculated as the largest amount that is more than 50 percent likely to be realized upon resolution of the benefit. Application of these rules requires a significant amount of judgment.</w:t>
      </w:r>
    </w:p>
    <w:p>
      <w:pPr>
        <w:spacing w:after="0" w:line="174"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and Abbott will enter into a tax sharing agreement prior to or concurrent with the separation. For tax contingencies prior to the separation, Abbott will indemnify and hold AbbVie harmless if the tax positions are settled for amounts in excess of recorded liabilities, and AbbVie will not benefit if prior tax positions are resolved more favorably than recorded amounts.</w:t>
      </w:r>
    </w:p>
    <w:p>
      <w:pPr>
        <w:spacing w:after="0" w:line="179" w:lineRule="exact"/>
        <w:rPr>
          <w:sz w:val="20"/>
          <w:szCs w:val="20"/>
          <w:color w:val="auto"/>
        </w:rPr>
      </w:pPr>
    </w:p>
    <w:p>
      <w:pPr>
        <w:jc w:val="both"/>
        <w:ind w:right="240" w:firstLine="341"/>
        <w:spacing w:after="0" w:line="293" w:lineRule="auto"/>
        <w:rPr>
          <w:sz w:val="20"/>
          <w:szCs w:val="20"/>
          <w:color w:val="auto"/>
        </w:rPr>
      </w:pPr>
      <w:r>
        <w:rPr>
          <w:rFonts w:ascii="Arial" w:cs="Arial" w:eastAsia="Arial" w:hAnsi="Arial"/>
          <w:sz w:val="15"/>
          <w:szCs w:val="15"/>
          <w:i w:val="1"/>
          <w:iCs w:val="1"/>
          <w:color w:val="auto"/>
        </w:rPr>
        <w:t>Intangible Assets and Goodwill</w:t>
      </w:r>
      <w:r>
        <w:rPr>
          <w:rFonts w:ascii="Arial" w:cs="Arial" w:eastAsia="Arial" w:hAnsi="Arial"/>
          <w:sz w:val="15"/>
          <w:szCs w:val="15"/>
          <w:color w:val="auto"/>
        </w:rPr>
        <w:t>—AbbVie has acquired and may continue to acquire significant intangible assets in connection with business combinations that</w:t>
      </w:r>
      <w:r>
        <w:rPr>
          <w:rFonts w:ascii="Arial" w:cs="Arial" w:eastAsia="Arial" w:hAnsi="Arial"/>
          <w:sz w:val="15"/>
          <w:szCs w:val="15"/>
          <w:i w:val="1"/>
          <w:iCs w:val="1"/>
          <w:color w:val="auto"/>
        </w:rPr>
        <w:t xml:space="preserve"> </w:t>
      </w:r>
      <w:r>
        <w:rPr>
          <w:rFonts w:ascii="Arial" w:cs="Arial" w:eastAsia="Arial" w:hAnsi="Arial"/>
          <w:sz w:val="15"/>
          <w:szCs w:val="15"/>
          <w:color w:val="auto"/>
        </w:rPr>
        <w:t>AbbVie records at fair value. Transactions involving the purchase or sale of intangible assets occur with some frequency between companies in the pharmaceuticals industry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w:t>
      </w:r>
    </w:p>
    <w:p>
      <w:pPr>
        <w:spacing w:after="0" w:line="3"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AbbVie engages independent valuation experts who review AbbVie's critical assumptions and calculations for acquisitions of significant intangibles. AbbVie reviews the recoverability of definite-lived intangible assets each quarter using an undiscounted net cash flow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level for which cash flows are identifiable. Goodwill and indefinite-lived intangible assets, which relate to in-process research and development acquired in a business combination, are reviewed for impairment annually or when an event that could result in an impairment occurs. At June 30, 2012, goodwill and other intangible assets totaled $6.0 billion and $2.5 billion, respectively. At December 31, 2011, goodwill and other intangible assets amounted to $6.1 billion and $2.9 billion, respectively, and amortization expense for intangible assets amounted to approximately $764 million in 2011. There were no impairments of goodwill in 2011, 2010 or 2009 and the results of the last impairment test indicated that the fair value of each reporting unit was substantially in excess of its carrying value. In 2011, AbbVie recorded impairment charges of $46 million for certain projects under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Litigation</w:t>
      </w:r>
      <w:r>
        <w:rPr>
          <w:rFonts w:ascii="Arial" w:cs="Arial" w:eastAsia="Arial" w:hAnsi="Arial"/>
          <w:sz w:val="15"/>
          <w:szCs w:val="15"/>
          <w:color w:val="auto"/>
        </w:rPr>
        <w:t>—AbbVie accounts for litigation losses in accordance with FASB Accounting Standards Codification (ASC) No. 450, "Contingencies." Under ASC</w:t>
      </w:r>
      <w:r>
        <w:rPr>
          <w:rFonts w:ascii="Arial" w:cs="Arial" w:eastAsia="Arial" w:hAnsi="Arial"/>
          <w:sz w:val="15"/>
          <w:szCs w:val="15"/>
          <w:i w:val="1"/>
          <w:iCs w:val="1"/>
          <w:color w:val="auto"/>
        </w:rPr>
        <w:t xml:space="preserve"> </w:t>
      </w:r>
      <w:r>
        <w:rPr>
          <w:rFonts w:ascii="Arial" w:cs="Arial" w:eastAsia="Arial" w:hAnsi="Arial"/>
          <w:sz w:val="15"/>
          <w:szCs w:val="15"/>
          <w:color w:val="auto"/>
        </w:rPr>
        <w:t>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The recorded accrual balance of approximately $830 million as of June 30, 2012 consists primarily of the unpaid portion of the settlement related to the government's investigation of AbbVie's sales and marketing activities for Depakote.</w:t>
      </w:r>
    </w:p>
    <w:p>
      <w:pPr>
        <w:spacing w:after="0" w:line="163"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Pension and Post-Employment Benefits</w:t>
      </w:r>
      <w:r>
        <w:rPr>
          <w:rFonts w:ascii="Arial" w:cs="Arial" w:eastAsia="Arial" w:hAnsi="Arial"/>
          <w:sz w:val="17"/>
          <w:szCs w:val="17"/>
          <w:color w:val="auto"/>
        </w:rPr>
        <w:t>—AbbVie employees participate in various pension and post-employment health care plans sponsored by Abbott. In</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financial statements, these plans are accounted for as multiemployer benefit plans and no liabilities have been reflected in AbbVie's combined balance sheets as there were no unfunded contributions due at the end of any reporting period. At the separation date, AbbVie expects to record the net benefit plan obligations transferred from Abbott. See "Unaudited Pro Forma Combined Financial Statements" for additional information. AbbVie's combined statements of earnings include expense allocations for these benefits. These expenses were funded through intercompany transactions with Abbott which are reflected within Net parent company investment in AbbVie.</w:t>
      </w:r>
    </w:p>
    <w:p>
      <w:pPr>
        <w:spacing w:after="0" w:line="18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direct obligations of AbbVie and are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Operations—Years ended December 31, 2011, 2010 and 2009</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Net sales increased 11.6 percent in 2011 and 10.0 percent in 2010. U.S. net sales increased 8.2 percent in 2011 and 10.7 percent in 2010. Net sales outside the U.S. increased 16.0 percent in 2011 and 9.1 percent in 2010. Increases in net sales in 2011 and 2010 reflect primarily unit growth, the acquisition of Solvay's U.S. pharmaceuticals business on February 15, 2010 and the favorable effect of exchange.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sales of key products. Percent changes are versus the prior year and are based on unrounded numbers.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 Change Attributable</w:t>
            </w:r>
          </w:p>
        </w:tc>
      </w:tr>
      <w:tr>
        <w:trPr>
          <w:trHeight w:val="157"/>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to Exchange</w:t>
            </w:r>
          </w:p>
        </w:tc>
        <w:tc>
          <w:tcPr>
            <w:tcW w:w="140" w:type="dxa"/>
            <w:vAlign w:val="bottom"/>
          </w:tcPr>
          <w:p>
            <w:pPr>
              <w:spacing w:after="0"/>
              <w:rPr>
                <w:sz w:val="13"/>
                <w:szCs w:val="13"/>
                <w:color w:val="auto"/>
              </w:rPr>
            </w:pPr>
          </w:p>
        </w:tc>
      </w:tr>
      <w:tr>
        <w:trPr>
          <w:trHeight w:val="190"/>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2010 vs. 2009</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2010 vs. 2009</w:t>
            </w:r>
          </w:p>
        </w:tc>
        <w:tc>
          <w:tcPr>
            <w:tcW w:w="140" w:type="dxa"/>
            <w:vAlign w:val="bottom"/>
          </w:tcPr>
          <w:p>
            <w:pPr>
              <w:spacing w:after="0"/>
              <w:rPr>
                <w:sz w:val="16"/>
                <w:szCs w:val="16"/>
                <w:color w:val="auto"/>
              </w:rPr>
            </w:pPr>
          </w:p>
        </w:tc>
      </w:tr>
      <w:tr>
        <w:trPr>
          <w:trHeight w:val="203"/>
        </w:trPr>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3,427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2,872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2,520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6,508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5,562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363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447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1,170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1,223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649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810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803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409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99"/>
        </w:trPr>
        <w:tc>
          <w:tcPr>
            <w:tcW w:w="1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Continued penetration in major markets across the world and market growth drove sales increases for HUMIRA in all three years. HUMIRA had approval to market for six indications during the 2009-2011 period. HUMIRA received approval from the European Commission in April 2012 and from the FDA in October 2012 for the treatment of moderately to severely active ulcerative colitis in adult patients who have had an inadequate response to conventional therapy.</w:t>
      </w:r>
    </w:p>
    <w:p>
      <w:pPr>
        <w:spacing w:after="0" w:line="163" w:lineRule="exact"/>
        <w:rPr>
          <w:sz w:val="20"/>
          <w:szCs w:val="20"/>
          <w:color w:val="auto"/>
        </w:rPr>
      </w:pPr>
    </w:p>
    <w:p>
      <w:pPr>
        <w:jc w:val="both"/>
        <w:ind w:right="160" w:firstLine="332"/>
        <w:spacing w:after="0" w:line="294" w:lineRule="auto"/>
        <w:rPr>
          <w:sz w:val="20"/>
          <w:szCs w:val="20"/>
          <w:color w:val="auto"/>
        </w:rPr>
      </w:pPr>
      <w:r>
        <w:rPr>
          <w:rFonts w:ascii="Arial" w:cs="Arial" w:eastAsia="Arial" w:hAnsi="Arial"/>
          <w:sz w:val="16"/>
          <w:szCs w:val="16"/>
          <w:color w:val="auto"/>
        </w:rPr>
        <w:t>AbbVie acquired AndroGel in the acquisition of Solvay's U.S. pharmaceuticals business in February 2010. AndroGel holds the number one share position in the U.S. testosterone replacement market where 2011 growth was driven by increasing diagnosis and treatment of low testosterone. In April 2011, AbbVie received U.S. FDA approval for AndroGel 1.62%, a low-volume formulation, and AndroGel 1.62% gained market share during the second half of 2011.</w:t>
      </w:r>
    </w:p>
    <w:p>
      <w:pPr>
        <w:spacing w:after="0" w:line="163"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2011 increase in U.S. sales of Lupron was partially due to strong performance by the six-month formulation of Lupron Depot that was approved in 2011. The 2010 decrease in U.S. sales of Lupron was due to lower price and demand.</w:t>
      </w:r>
    </w:p>
    <w:p>
      <w:pPr>
        <w:spacing w:after="0" w:line="170" w:lineRule="exact"/>
        <w:rPr>
          <w:sz w:val="20"/>
          <w:szCs w:val="20"/>
          <w:color w:val="auto"/>
        </w:rPr>
      </w:pPr>
    </w:p>
    <w:p>
      <w:pPr>
        <w:jc w:val="both"/>
        <w:ind w:right="640" w:firstLine="341"/>
        <w:spacing w:after="0" w:line="294" w:lineRule="auto"/>
        <w:rPr>
          <w:sz w:val="20"/>
          <w:szCs w:val="20"/>
          <w:color w:val="auto"/>
        </w:rPr>
      </w:pPr>
      <w:r>
        <w:rPr>
          <w:rFonts w:ascii="Arial" w:cs="Arial" w:eastAsia="Arial" w:hAnsi="Arial"/>
          <w:sz w:val="16"/>
          <w:szCs w:val="16"/>
          <w:color w:val="auto"/>
        </w:rPr>
        <w:t>U.S. sales of Sevoflurane were impacted by generic competition in 2011 and 2010. U.S. sales of Zemplar in 2011 and 2010 were impacted by changes in reimbursement regulations resulting from U.S. health care reform legislation. Worldwide sales of Kaletra in all three years were negatively affected by market competition. The decreases in U.S. sales of Depakote reflect the impact of generic competition which began in 2008.</w:t>
      </w:r>
    </w:p>
    <w:p>
      <w:pPr>
        <w:spacing w:after="0" w:line="163" w:lineRule="exact"/>
        <w:rPr>
          <w:sz w:val="20"/>
          <w:szCs w:val="20"/>
          <w:color w:val="auto"/>
        </w:rPr>
      </w:pPr>
    </w:p>
    <w:p>
      <w:pPr>
        <w:jc w:val="both"/>
        <w:ind w:right="640" w:firstLine="332"/>
        <w:spacing w:after="0" w:line="352" w:lineRule="auto"/>
        <w:rPr>
          <w:sz w:val="20"/>
          <w:szCs w:val="20"/>
          <w:color w:val="auto"/>
        </w:rPr>
      </w:pPr>
      <w:r>
        <w:rPr>
          <w:rFonts w:ascii="Arial" w:cs="Arial" w:eastAsia="Arial" w:hAnsi="Arial"/>
          <w:sz w:val="15"/>
          <w:szCs w:val="15"/>
          <w:color w:val="auto"/>
        </w:rPr>
        <w:t>AbbVie has periodically sold product rights to non-strategic products and has recorded the related gains in net sales in accordance with AbbVie's revenue recognition policies as discussed in Note 2 to the combined financial statements. Sales of product rights were not material in 2011, 2010 or 2009.</w:t>
      </w:r>
    </w:p>
    <w:p>
      <w:pPr>
        <w:spacing w:after="0" w:line="123" w:lineRule="exact"/>
        <w:rPr>
          <w:sz w:val="20"/>
          <w:szCs w:val="20"/>
          <w:color w:val="auto"/>
        </w:rPr>
      </w:pPr>
    </w:p>
    <w:p>
      <w:pPr>
        <w:ind w:right="120" w:firstLine="338"/>
        <w:spacing w:after="0" w:line="261" w:lineRule="auto"/>
        <w:rPr>
          <w:sz w:val="20"/>
          <w:szCs w:val="20"/>
          <w:color w:val="auto"/>
        </w:rPr>
      </w:pPr>
      <w:r>
        <w:rPr>
          <w:rFonts w:ascii="Arial" w:cs="Arial" w:eastAsia="Arial" w:hAnsi="Arial"/>
          <w:sz w:val="17"/>
          <w:szCs w:val="17"/>
          <w:color w:val="auto"/>
        </w:rPr>
        <w:t>The expiration of licenses, patent protection and generic competition can affect the future revenues and operating income of AbbVie. There are currently no significant patent or license expirations in the next three years. However, AbbVie has agreements with generic manufacturers that will permit generic competition for certain products in the future. Under a license agreement for TriCor 145 mg, generic competition is expected in the fourth quarter of 2012. Under a license agreement for Trilipix 45 mg and 135 mg, generic competition may begin in January 2014 except that under certain circumstances the license may commence as early as July 2013. Under an agreement relating to AbbVie's niacin products acquired with the Kos Pharmaceuticals acquisition, Niaspan may become subject to generic competition in September 2013. 2011 sales of TriCor, Trilipix and Niaspan were $987 million, $385 million and $976 million, respectively. AndroGel 1% sales are expected to be impacted by generic competition in 2015.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Gross profit margins were 73.4 percent of net sales in 2011, 72.5 percent in 2010 and 71.5 percent in 2009. The increases in gross profit margin were due, in part, to improved efficiencies and favorable product mix. In the U.S., various governmental rebate programs continue to have a negative effect on the gross profit margins. The 2010 health care reform legislation in the U.S. resulted in increased and additional Medicaid rebates beginning in 2010 and in additional rebates related to the Medicare Part D "donut hole" beginning in 2011 which negatively affected AbbVie's business. The negative impact of the rebates resulting from the 2010 health care reform legislation grew from more than $200 million in 2010 to approximately $300 million in 2011.</w:t>
      </w:r>
    </w:p>
    <w:p>
      <w:pPr>
        <w:spacing w:after="0" w:line="17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Research and development expense was $2.6 billion in 2011, $2.5 billion in 2010 and $1.7 billion in 2009 and represented increases of 4.9 percent in 2011 and 46.1 percent in 2010. The increase in 2010 reflects the acquisitions of Solvay's U.S. pharmaceuticals business in February 2010 and Facet Biotech Corporation in April 2010. The increases in 2011 and 2010 also reflect continued pipeline spending, including programs for immunology, oncology, neuroscience, pain management, virology, renal disease and women's health.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Selling, general and administrative expenses totaled $5.9 billion in 2011, $3.8 billion in 2010 and $3.3 billion in 2009 and represented increases of 54.3 percent in 2011 and 14.1 percent in 2010. The U.S. Department of Justice through the United States Attorney for the Western District of Virginia investigated AbbVie's sales and marketing activities for Depakote. In 2011, AbbVie recorded a litigation charge of $1.5 billion related to ongoing settlement discussions in this investigation. Excluding the litigation charge, selling, general and administrative expenses increased 14.8 percent in 2011. The 2011 increase reflects approximately $100 million for the annual fee which pharmaceuticals manufacturers began paying in 2011 under the 2010 U.S. health care reform legislation. The increase in 2010 reflects the acquisition of Solvay's U.S. pharmaceuticals business in 2010. The remaining increases in selling, general and administrative expenses were due primarily to increased selling and marketing support for new and existing products, including continued spending for HUMIRA, and inflation.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28"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Other (income) expense, net, for 2011 includes $56 million of fair value adjustments and accretion of contingent consideration related to the acquisition of Solvay's U.S. pharmaceuticals business. Other (income) expense, net, for 2009 includes the derecognition of a contingent liability of $797 million associated with the conclusion of the TAP Pharmaceutical Products Inc. joint venture in 2008.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 (income) expense, net, for 2011, 2010 and 2009 also includes ongoing contractual payments from Takeda associated with the conclusion of the TAP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The income tax rates on earnings were 6.4 percent in 2011, 13.6 percent in 2010 and 22.1 percent in 2009. Taxes on earnings in 2011 reflect the non-deductibility of a litigation reserve and the recognition of $411 million of tax benefits as a result of the favorable resolution of various tax positions pertaining to prior years. Excluding these discrete items, the effective tax rates are less than the statutory U.S. federal income tax rate of 35 percent principally due to the benefit of lower statutory tax rates and tax exemptions in Puerto Rico and other foreign taxing jurisdictions that reduced the tax rates by 25.4, 22.5, and 14.8 percentage points in 2011, 2010, and 2009, respectively. The tax rate reductions are primarily derived from operations in Puerto Rico where AbbVie benefits from a combination of favorable statutory tax rules, tax rulings, grants, and exemptions. AbbVie believes that it is reasonably possible that the recorded amount of gross unrecognized tax benefits may decrease by up to $250 million, including cash payments, within the next twelve months as a result of concluding various domestic and international tax matters.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an independent company, AbbVie expects that its effective income tax rate in 2013 will be approximately 22%, excluding any discrete items.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October 2010, Puerto Rico enacted legislation that assesses an excise tax beginning in 2011 on certain products manufactured in Puerto Rico. The tax is levied on gross inventory purchases from entities in Puerto Rico and is included in inventory cost. The tax is creditable for U.S. income tax purposes. In 2011, Cost of products sold included approximately $105 million related to this tax.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Programs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currently has numerous pharmaceutical products in development.</w:t>
      </w:r>
    </w:p>
    <w:p>
      <w:pPr>
        <w:spacing w:after="0" w:line="224"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research and development process generally begins with discovery research which focuses on the identification of a molecule that has a desired effect against a given disease. If preclinical testing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 identified compound proves successful, the compound moves into clinical development which generally includes the following phases:</w:t>
      </w:r>
    </w:p>
    <w:p>
      <w:pPr>
        <w:spacing w:after="0" w:line="237" w:lineRule="exact"/>
        <w:rPr>
          <w:sz w:val="20"/>
          <w:szCs w:val="20"/>
          <w:color w:val="auto"/>
        </w:rPr>
      </w:pPr>
    </w:p>
    <w:p>
      <w:pPr>
        <w:ind w:left="1060" w:hanging="531"/>
        <w:spacing w:after="0"/>
        <w:tabs>
          <w:tab w:leader="none" w:pos="10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Phase I—involves the first human tests in a small number of healthy volunteers or patients to assess safety, tolerability and potential dosing.</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Phase II—tests the molecule's efficacy against the disease in a relatively small group of patients.</w:t>
      </w:r>
    </w:p>
    <w:p>
      <w:pPr>
        <w:spacing w:after="0" w:line="237"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Phase III—tests a molecule that demonstrates favorable results in the earlier phases in a significantly larger patient population to further demonstrate efficacy and safety based on regulatory criteria.</w:t>
      </w:r>
    </w:p>
    <w:p>
      <w:pPr>
        <w:spacing w:after="0" w:line="170"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clinical trials from all of the development phases provide the data required to prepare and submit a New Drug Application (NDA), a Biological License Application (BLA) or other submission for regulatory approval to the U.S. Food and Drug Administration (FDA) or similar government agencies outside the U.S. The specific requirements (e.g., scope of clinical trials) for obtaining regulatory approval vary across different countries and geographic regions.</w:t>
      </w:r>
    </w:p>
    <w:p>
      <w:pPr>
        <w:spacing w:after="0" w:line="163"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The research and development process from discovery through a new drug launch typically takes 8 - 12 years and can be even longer. There is a significant amount of uncertainty inherent in the research and development of new pharmaceutical products and there is no guarantee when, or if, a molecule will receive the regulatory approval required to launch a new drug or indication.</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significant areas of therapeutic focus include the following:</w:t>
      </w:r>
    </w:p>
    <w:p>
      <w:pPr>
        <w:spacing w:after="0" w:line="224" w:lineRule="exact"/>
        <w:rPr>
          <w:sz w:val="20"/>
          <w:szCs w:val="20"/>
          <w:color w:val="auto"/>
        </w:rPr>
      </w:pPr>
    </w:p>
    <w:p>
      <w:pPr>
        <w:ind w:right="100" w:firstLine="338"/>
        <w:spacing w:after="0" w:line="315" w:lineRule="auto"/>
        <w:rPr>
          <w:sz w:val="20"/>
          <w:szCs w:val="20"/>
          <w:color w:val="auto"/>
        </w:rPr>
      </w:pPr>
      <w:r>
        <w:rPr>
          <w:rFonts w:ascii="Arial" w:cs="Arial" w:eastAsia="Arial" w:hAnsi="Arial"/>
          <w:sz w:val="16"/>
          <w:szCs w:val="16"/>
          <w:color w:val="auto"/>
        </w:rPr>
        <w:t>Virology—AbbVie's antiviral program is focused on developing treatments for hepatitis C and the initiation of Phase III development was announced in October 2012 for combinations of ABT-450, part of the Enanta collaboration, polymerase inhibitor ABT-333, and ABT-267, a NS5A inhibitor.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Renal Disease—A global Phase IIb program for atrasentan that started in June 2011 is expected to be completed by the end of 2012.</w:t>
      </w:r>
    </w:p>
    <w:p>
      <w:pPr>
        <w:spacing w:after="0" w:line="224"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In 2010, AbbVie entered into an agreement with Reata Pharmaceuticals for ex-U.S. rights, excluding certain Asian markets, to bardoxolone methyl, an investigational treatment for chronic kidney disease (CKD). A global Phase III clinical trial known as BEACON was initiated in June 2011. On October 17, 2012 Reata informed AbbVie that it is discontinuing the Phase III clinical study. The discontinuation is based on a recommendation from the study's Independent Data Monitoring Committee regarding safety concerns due to "excess serious adverse events and mortality in the bardoxolone methyl arm." Reata and AbbVie will closely examine the data from this study to determine whether there is an appropriate path forward for the development of bardoxolone methyl in chronic kidney disease or other indications.</w:t>
      </w:r>
    </w:p>
    <w:p>
      <w:pPr>
        <w:spacing w:after="0" w:line="188" w:lineRule="exact"/>
        <w:rPr>
          <w:sz w:val="20"/>
          <w:szCs w:val="20"/>
          <w:color w:val="auto"/>
        </w:rPr>
      </w:pPr>
    </w:p>
    <w:p>
      <w:pPr>
        <w:ind w:right="220" w:firstLine="341"/>
        <w:spacing w:after="0" w:line="262" w:lineRule="auto"/>
        <w:rPr>
          <w:sz w:val="20"/>
          <w:szCs w:val="20"/>
          <w:color w:val="auto"/>
        </w:rPr>
      </w:pPr>
      <w:r>
        <w:rPr>
          <w:rFonts w:ascii="Arial" w:cs="Arial" w:eastAsia="Arial" w:hAnsi="Arial"/>
          <w:sz w:val="17"/>
          <w:szCs w:val="17"/>
          <w:color w:val="auto"/>
        </w:rPr>
        <w:t>Neuroscience/Pain—AbbVie is focused on the development of compounds that target receptors in the brain that help regulate neurological functions to address conditions such as Alzheimer's disease, schizophrenia, pain, Parkinson's disease and multiple sclerosis (MS). The ABT-126 Phase IIb Alzheimer's disease program began in March 2012. Daclizumab, a monoclonal antibody, is in ongoing Phase III clinical trials for relapsing remitting MS. ABT-110 is under development for the treatment of multiple pain indications with Phase IIa clinical trials expected to start in the fourth quarter of 2012. A levodopa-carbidopa intestinal gel (LCIG) is completing its Phase III program for Parkinson's disease and a U.S. registration submission is expected in November 2012. The latter product is sold under the Duodopa name outside the 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Oncology—AbbVie is focused on the development of targeted treatments that inhibit tumor growth and improve responses to common cancer therapies. AbbVie has new molecular entities in development for more than a dozen types of cancer including:</w:t>
      </w:r>
    </w:p>
    <w:p>
      <w:pPr>
        <w:spacing w:after="0" w:line="183" w:lineRule="exact"/>
        <w:rPr>
          <w:sz w:val="20"/>
          <w:szCs w:val="20"/>
          <w:color w:val="auto"/>
        </w:rPr>
      </w:pPr>
    </w:p>
    <w:p>
      <w:pPr>
        <w:ind w:left="1060" w:hanging="531"/>
        <w:spacing w:after="0"/>
        <w:tabs>
          <w:tab w:leader="none" w:pos="10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Veliparib (ABT-888), a PARP-inhibitor, for which Phase II is ongoing for a number of specific tumor types.</w:t>
      </w:r>
    </w:p>
    <w:p>
      <w:pPr>
        <w:spacing w:after="0" w:line="250"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Elotuzumab under a collaboration agreement acquired as part of the Facet Biotech acquisition in 2010. Phase III development of elotuzumab for the treatment of multiple myeloma began in June 2011.</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ABT-199, a next-generation Bcl-2 inhibitor currently in Phase I development for chronic lymphocytic leukemia (CLL) and non-Hodgkin's lymphoma (NHL), is expected to start Phase III in 2013.</w:t>
      </w:r>
    </w:p>
    <w:p>
      <w:pPr>
        <w:spacing w:after="0" w:line="170"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Women's Health—In 2010, AbbVie entered into a collaboration agreement with Neurocrine Biosciences to develop and commercialize elagolix, an oral gonadotropin-releasing hormone (GnRH) antagonist, for the treatment of endometriosis-related pain and uterine fibroids. A Phase III study in endometriosis began in mid-2012 and a Phase IIa study for uterine fibroids was initiated in November 2011.</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Immunology—Projects are ongoing to identify new mechanisms with the potential to treat an array of immune-mediated diseases. Projects include early stage work in oral DMARD therapies and a number of biologic candidates. ABT-122 and ABT-981 are both dual variable domain immunoglobulins in Phase I clinical trials with potential to be disease modifying anti-arthritic drugs.</w:t>
      </w:r>
    </w:p>
    <w:p>
      <w:pPr>
        <w:spacing w:after="0" w:line="179" w:lineRule="exact"/>
        <w:rPr>
          <w:sz w:val="20"/>
          <w:szCs w:val="20"/>
          <w:color w:val="auto"/>
        </w:rPr>
      </w:pPr>
    </w:p>
    <w:p>
      <w:pPr>
        <w:jc w:val="both"/>
        <w:ind w:right="280" w:firstLine="341"/>
        <w:spacing w:after="0" w:line="287" w:lineRule="auto"/>
        <w:rPr>
          <w:sz w:val="20"/>
          <w:szCs w:val="20"/>
          <w:color w:val="auto"/>
        </w:rPr>
      </w:pPr>
      <w:r>
        <w:rPr>
          <w:rFonts w:ascii="Arial" w:cs="Arial" w:eastAsia="Arial" w:hAnsi="Arial"/>
          <w:sz w:val="16"/>
          <w:szCs w:val="16"/>
          <w:color w:val="auto"/>
        </w:rPr>
        <w:t>In the first quarter of 2012, AbbVie entered into a global collaboration with Galapagos to develop and commercialize an oral, next-generation JAK1 inhibitor currently in Phase II development with the potential to treat multiple autoimmune diseases. In the fourth quarter of 2011, AbbVie entered into a collaboration with Reata Pharmaceuticals for the joint development and commercialization of second-generation, oral antioxidant inflammation modulators. Phase II clinical trials for rheumatoid arthritis and psoriasis are ongoing for AbbVie's anti-CD4 biologic, BT-061, under a collaboration with Biotest.</w:t>
      </w:r>
    </w:p>
    <w:p>
      <w:pPr>
        <w:spacing w:after="0" w:line="169"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Additional indications of HUMIRA have registration submissions under review, including ankylosing spondylitis in China where the registration was submitted in September 2011 and pediatric Crohn's disease where the European Union registration was submitted in October 2011 and the U.S. submission is expected in early 2013. For ulcerative colitis, European Union approval was obtained April 4, 2012, FDA approval for the United States was obtained September 28, 2012, and the registration submission in Japan was made in March 2012. Phase III trials are ongoing for uveitis in the U.S., EU and Japan, peripheral spondyloarthritis in the U.S. and EU, and for hidradenitis suppurativa in the U.S. and EU. A registration submission for intestinal Behcet's disease was made in Japan on August 31, 2012. The registration submission for axial spondyloarthritis is expected to be made in the U.S. in late 2012. Approval for axial spondyloarthritis was obtained in July 2012 for the EU, and approval for juvenile idiopathic arthritis was obtained in July 2011 for Japan.</w:t>
      </w:r>
    </w:p>
    <w:p>
      <w:pPr>
        <w:spacing w:after="0" w:line="175"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In 2011, new formulations of some of AbbVie's existing pharmaceutical products were approved, including the 6-month and 3-month strengths of Lupron Depot in the U.S. in June and August, respectively. A new strength for Creon was approved in the U.S. in June 2011 and AndroGel 1.62% was approved in April 2011 in the U.S. An additional registration submission for a new strength for Creon was made on September 28, 2012.</w:t>
      </w:r>
    </w:p>
    <w:p>
      <w:pPr>
        <w:spacing w:after="0" w:line="179" w:lineRule="exact"/>
        <w:rPr>
          <w:sz w:val="20"/>
          <w:szCs w:val="20"/>
          <w:color w:val="auto"/>
        </w:rPr>
      </w:pPr>
    </w:p>
    <w:p>
      <w:pPr>
        <w:ind w:right="200" w:firstLine="341"/>
        <w:spacing w:after="0" w:line="265" w:lineRule="auto"/>
        <w:rPr>
          <w:sz w:val="20"/>
          <w:szCs w:val="20"/>
          <w:color w:val="auto"/>
        </w:rPr>
      </w:pPr>
      <w:r>
        <w:rPr>
          <w:rFonts w:ascii="Arial" w:cs="Arial" w:eastAsia="Arial" w:hAnsi="Arial"/>
          <w:sz w:val="17"/>
          <w:szCs w:val="17"/>
          <w:color w:val="auto"/>
        </w:rPr>
        <w:t>Given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AbbVie's total research and development expenses as well as qualitative factors, such as marketplace perceptions and impact of a new product on AbbVie's overall market position. There were no delays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AbbVie's 2011 research and development activities that are expected to have a material impact on operations.</w:t>
      </w:r>
    </w:p>
    <w:p>
      <w:pPr>
        <w:spacing w:after="0" w:line="224"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While the aggregate cost to complete the numerous pharmaceutical projects currently in development is expected to be material, the total cost to complete will depend upon AbbVie's ability to successfully complete each project, the rate at which each project advances, and the ultimate timing for completion. Given the potential for significant delays and the high rate of failure inherent in the research and development of new pharmaceutical products, it is not possible to accurately estimate the total cost to complete all projects currently in development. However, AbbVie plans to continue to manage its portfolio of projects to achieve research and development spend equal to approximately 13 percent to 14 percent of net sales each year. AbbVie does not regularly accumulate or make management decisions based on the total expenses incurred for a particular development phase in a given period.</w:t>
      </w:r>
    </w:p>
    <w:p>
      <w:pPr>
        <w:spacing w:after="0" w:line="17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Generally, AbbVie seeks to obtain various forms of exclusivity for each product in development. AbbVie obtains patent protection, where available, in all significant markets and/or countries for each product in development. Additionally, AbbVie also seeks to obtain other forms of legal or regulatory exclusivity that would protect the product upon approval. These forms of regulatory exclusivity have a variety of terms, from 3, 5 to 7 years in the United States and up to 10 years in the European Union. This regulatory exclusivity is granted upon the approval of each development project. In certain instances, regulatory exclusivity may protect a product where patent protection is no longer available or for a period of time in excess of patent protection. The availability and length of such regulatory exclusivity is based, in part, on the length of the regulatory review process and can only be determined upon product approval. It is not possible to estimate for each product in development the total period of exclusivity that will be obtained if regulatory approval is obtained.</w:t>
      </w:r>
    </w:p>
    <w:p>
      <w:pPr>
        <w:spacing w:after="0" w:line="175" w:lineRule="exact"/>
        <w:rPr>
          <w:sz w:val="20"/>
          <w:szCs w:val="20"/>
          <w:color w:val="auto"/>
        </w:rPr>
      </w:pPr>
    </w:p>
    <w:p>
      <w:pPr>
        <w:ind w:right="200" w:firstLine="341"/>
        <w:spacing w:after="0" w:line="293" w:lineRule="auto"/>
        <w:rPr>
          <w:sz w:val="20"/>
          <w:szCs w:val="20"/>
          <w:color w:val="auto"/>
        </w:rPr>
      </w:pPr>
      <w:r>
        <w:rPr>
          <w:rFonts w:ascii="Arial" w:cs="Arial" w:eastAsia="Arial" w:hAnsi="Arial"/>
          <w:sz w:val="15"/>
          <w:szCs w:val="15"/>
          <w:color w:val="auto"/>
        </w:rPr>
        <w:t>Generally, upon approval, products in development may be entitled to exclusivity.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20 years if a product in development ultimately obtains regulatory approval.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calculation of the patent extension is roughly based on 50 percent of the period of time extending from the filing of an Investigational New Drug application to the submission of the NDA, plus 100 percent of the time period from NDA submission to regulatory approval. The extension, however, cannot exceed 5 years and the remaining patent term after regulatory approval cannot exceed 14 years. Only one patent related to the first commercial marketing of a newly approved pharmaceutical product is eligible for a patent term restoration.</w:t>
      </w:r>
    </w:p>
    <w:p>
      <w:pPr>
        <w:spacing w:after="0" w:line="160" w:lineRule="exact"/>
        <w:rPr>
          <w:sz w:val="20"/>
          <w:szCs w:val="20"/>
          <w:color w:val="auto"/>
        </w:rPr>
      </w:pPr>
    </w:p>
    <w:p>
      <w:pPr>
        <w:ind w:right="40" w:firstLine="332"/>
        <w:spacing w:after="0" w:line="281" w:lineRule="auto"/>
        <w:rPr>
          <w:sz w:val="20"/>
          <w:szCs w:val="20"/>
          <w:color w:val="auto"/>
        </w:rPr>
      </w:pPr>
      <w:r>
        <w:rPr>
          <w:rFonts w:ascii="Arial" w:cs="Arial" w:eastAsia="Arial" w:hAnsi="Arial"/>
          <w:sz w:val="16"/>
          <w:szCs w:val="16"/>
          <w:color w:val="auto"/>
        </w:rPr>
        <w:t>Additionally, products may be entitled to obtain other forms of legal or regulatory exclusivity upon approval. These forms of regulatory exclusivity have a variety of terms in the United States and are variable in other jurisdictions. In the United States, when the FDA approves a new chemical entity that it has not previously approved alone or in combination with other chemical entities, the product is granted 5 years of regulatory exclusivity. The FDA may grant 3 years of market exclusivity for an NDA, including supplementary applications, if the application contains reports of new clinical investigations that have not previously been relied upon by the FDA. If the FDA grants pediatric exclusivity, the longest existing exclusivity (patent or regulatory) related to the product would be extended by 180 days. If the FDA designates a product as an orphan drug that is either used to treat conditions that afflict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relatively small population or for which there is not a reasonable expectation that the research and development costs will be recovered, the FDA may grant 7 years of exclusivity.</w:t>
      </w:r>
    </w:p>
    <w:p>
      <w:pPr>
        <w:spacing w:after="0" w:line="170" w:lineRule="exact"/>
        <w:rPr>
          <w:sz w:val="20"/>
          <w:szCs w:val="20"/>
          <w:color w:val="auto"/>
        </w:rPr>
      </w:pPr>
    </w:p>
    <w:p>
      <w:pPr>
        <w:ind w:right="300" w:firstLine="338"/>
        <w:spacing w:after="0" w:line="281" w:lineRule="auto"/>
        <w:rPr>
          <w:sz w:val="20"/>
          <w:szCs w:val="20"/>
          <w:color w:val="auto"/>
        </w:rPr>
      </w:pPr>
      <w:r>
        <w:rPr>
          <w:rFonts w:ascii="Arial" w:cs="Arial" w:eastAsia="Arial" w:hAnsi="Arial"/>
          <w:sz w:val="16"/>
          <w:szCs w:val="16"/>
          <w:color w:val="auto"/>
        </w:rPr>
        <w:t>This regulatory exclusivity is granted upon the approval of each development project. In certain instances, regulatory exclusivity may protect a product where patent protection is no longer available or for a period of time in excess of patent protection. It is not possible to estimate for each product in development the total period of exclusivity that will be granted if regulatory approval is obtained. However, given the length of time required to complete clinical development of a pharmaceutical product, the minimum and maximum periods of exclusivity that might be achieved in any individual case would not be expected to exceed 3 and 14 years, respectively. These estimates do not consider other factors, such as the difficulty of recreating the manufacturing process for a particular product or other proprietary knowledge that may provide some level of additional protection against generic incursion.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Technology Acquisitions and Related Transactions</w:t>
      </w:r>
    </w:p>
    <w:p>
      <w:pPr>
        <w:spacing w:after="0" w:line="228"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 xml:space="preserve">In February 2010, AbbVie acquired Solvay's U.S. pharmaceuticals business and certain other product rights for approximately $1.9 billion, in cash, plus additional payments of up to EUR 100 million per year if certain sales milestones are met in 2011, 2012 and 2013. Contingent consideration of approximately $290 million was recorded. The acquisition of Solvay's U.S. pharmaceuticals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AbbVie's results of operations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 </w:t>
      </w:r>
      <w:r>
        <w:rPr>
          <w:rFonts w:ascii="Arial" w:cs="Arial" w:eastAsia="Arial" w:hAnsi="Arial"/>
          <w:sz w:val="16"/>
          <w:szCs w:val="16"/>
          <w:i w:val="1"/>
          <w:iCs w:val="1"/>
          <w:color w:val="auto"/>
        </w:rPr>
        <w:t>(in billions of dollars)</w:t>
      </w:r>
      <w:r>
        <w:rPr>
          <w:rFonts w:ascii="Arial" w:cs="Arial" w:eastAsia="Arial" w:hAnsi="Arial"/>
          <w:sz w:val="16"/>
          <w:szCs w:val="16"/>
          <w:color w:val="auto"/>
        </w:rPr>
        <w:t>.</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center"/>
              <w:ind w:left="55"/>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7"/>
                <w:szCs w:val="17"/>
                <w:color w:val="auto"/>
                <w:w w:val="91"/>
              </w:rPr>
              <w:t>(0.5)</w:t>
            </w: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2"/>
        <w:spacing w:after="0" w:line="315" w:lineRule="auto"/>
        <w:rPr>
          <w:sz w:val="20"/>
          <w:szCs w:val="20"/>
          <w:color w:val="auto"/>
        </w:rPr>
      </w:pPr>
      <w:r>
        <w:rPr>
          <w:rFonts w:ascii="Arial" w:cs="Arial" w:eastAsia="Arial" w:hAnsi="Arial"/>
          <w:sz w:val="16"/>
          <w:szCs w:val="16"/>
          <w:color w:val="auto"/>
        </w:rPr>
        <w:t>Acquired intangible assets consist primarily of product rights for currently marketed products and are amortized over 2 to 13 years (average of 8 years). Acquired in-process research and development projects are accounted for as indefinite lived intangible assets until regulatory approval or discontinuation.</w:t>
      </w:r>
    </w:p>
    <w:p>
      <w:pPr>
        <w:spacing w:after="0" w:line="14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560" w:firstLine="341"/>
        <w:spacing w:after="0" w:line="282" w:lineRule="auto"/>
        <w:rPr>
          <w:sz w:val="20"/>
          <w:szCs w:val="20"/>
          <w:color w:val="auto"/>
        </w:rPr>
      </w:pPr>
      <w:r>
        <w:rPr>
          <w:rFonts w:ascii="Arial" w:cs="Arial" w:eastAsia="Arial" w:hAnsi="Arial"/>
          <w:sz w:val="17"/>
          <w:szCs w:val="17"/>
          <w:color w:val="auto"/>
        </w:rPr>
        <w:t>During 2010 and 2011, AbbVie entered into a series of transactions with Reata Pharmaceuticals which included (1) a collaboration agreement for the joint development and commercialization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second generation oral antioxidant inflammation modulators resulting in a charge to acquired in-process and collaborations research and development of $400 million in 2011, (2) an agreement to acquire licensing rights outside the U.S., excluding certain Asian markets, to bardoxolone methyl,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the license agreement. The license agreement requires additional payments of up to $200 million if certain development and regulatory milestones associated with the chronic kidney disease compound are achieved.</w:t>
      </w:r>
    </w:p>
    <w:p>
      <w:pPr>
        <w:spacing w:after="0" w:line="187"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On October 17, 2012 Reata informed AbbVie that it is discontinuing the Phase III clinical study for bardoxolone methyl for chronic kidney disease. Reata and AbbVie will closely examine the data from this study to determine whether there is an appropriate path forward for the development of bardoxolone methyl in chronic kidney disease or other indications. AbbVie is evaluating the impact of the study's discontinuation on the carrying value of the investment.</w:t>
      </w:r>
    </w:p>
    <w:p>
      <w:pPr>
        <w:spacing w:after="0" w:line="163"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8"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At December 31, 2011, goodwill recorded as a result of business combinations totaled $6.1 billion. Goodwill is reviewed for impairment annually or when an event that could result in an impairment occurs. The results of the impairment tests performed during 2011, 2010, and 2009 indicated that the estimated fair value of each reporting unit was substantially in excess of its carrying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Abbott and Cost to Operate as an Independent Company</w:t>
      </w:r>
    </w:p>
    <w:p>
      <w:pPr>
        <w:spacing w:after="0" w:line="228"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combined financial statements reflect the operating results and financial position of AbbVie as it was operated by Abbott, rather than as an independent company. AbbVie will incur additional ongoing operating expenses to operate as an independent company. These costs will include the cost of various corporate headquarters functions, incremental information technology-related costs, and incremental costs to operate a stand-alone back office infrastructure outside the U.S. In order to establish these stand-alone functions, information technology systems, and back office infrastructure, AbbVie will also incur non-recurring expenses and non-recurring capital expenditures.</w:t>
      </w:r>
    </w:p>
    <w:p>
      <w:pPr>
        <w:spacing w:after="0" w:line="187"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The operating costs of various information technology systems maintained by Abbott have been allocated to AbbVie on bases which management believes are reasonable. Included in these allocations is AbbVie's proportionate share of fixed operating costs. As an independent company, AbbVie's information technology operating costs may be higher than the costs allocated in the historical combined financial statements. In addition, AbbVie will incur non-recurring expenses and capital expenditures to establish its independent information technology systems.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markets outside the U.S., AbbVie does not currently have sufficient back office infrastructure to operate without transition service agreements with Abbott. Abbott will enter into a transition services agreement with AbbVie to provide services outside the United States, including back office services in certain countries, for up to two years after separation. The back office services provided will include information technology, accounts payable, payroll, receivables collection, treasury and other financial functions, as well as order entry, warehousing, and other administrative services. This transition services agreement will allow AbbVie to operate its international pharmaceuticals business independently prior to establishing a standalone back office infrastructure for all countries. During the transition from Abbott, AbbVie will incur non-recurring expenses to expand its international infrastructure. In addition, in certain international markets, the marketing authorizations to sell AbbVie's products will continue to be held by Abbott post-separation until the authorizations can be transferred through the applicable regulatory channels.</w:t>
      </w:r>
    </w:p>
    <w:p>
      <w:pPr>
        <w:spacing w:after="0" w:line="164" w:lineRule="exact"/>
        <w:rPr>
          <w:sz w:val="20"/>
          <w:szCs w:val="20"/>
          <w:color w:val="auto"/>
        </w:rPr>
      </w:pPr>
    </w:p>
    <w:p>
      <w:pPr>
        <w:jc w:val="both"/>
        <w:ind w:right="300" w:firstLine="338"/>
        <w:spacing w:after="0" w:line="311" w:lineRule="auto"/>
        <w:rPr>
          <w:sz w:val="20"/>
          <w:szCs w:val="20"/>
          <w:color w:val="auto"/>
        </w:rPr>
      </w:pPr>
      <w:r>
        <w:rPr>
          <w:rFonts w:ascii="Arial" w:cs="Arial" w:eastAsia="Arial" w:hAnsi="Arial"/>
          <w:sz w:val="15"/>
          <w:szCs w:val="15"/>
          <w:color w:val="auto"/>
        </w:rPr>
        <w:t>The transition services agreement in the United States will cover certain corporate support services that AbbVie has historically received from Abbott. Such services will include information technology, accounts payable, payroll, and other financial functions, as well as engineering support for various facilities, quality assurance support, and other administrative services. The term of the service under the agreement is expected to vary by activity. This agreement will facilitate the separation by allowing AbbVie to operate independently prior to establishing standalone back office systems across its organization.</w:t>
      </w:r>
    </w:p>
    <w:p>
      <w:pPr>
        <w:spacing w:after="0" w:line="155"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It is not practicable to estimate the costs that would have been incurred in each of the periods presented in the historical financial statements for the functions described above. Actual costs that would have been incurred if AbbVie operated as a stand-alone company during these periods would have depended on various factors, including organizational design, outsourcing and other strategic decisions related to corporate functions, information technology, and international back office infrastructure.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Operations—Six Months ended June 30, 2012 and 2011</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sales increased 6.1 percent for the six months ended June 30, 2012 compared to the six months ended June 30, 2011. The increase reflects primarily unit growth partially offset by the unfavorable effect of exchange. U.S. net sales increased 7.6 percent and net sales outside the U.S. increased 4.3 percent, net of the unfavorable effect of exchange of 6.0 percent.</w:t>
      </w:r>
    </w:p>
    <w:p>
      <w:pPr>
        <w:spacing w:after="0" w:line="179" w:lineRule="exact"/>
        <w:rPr>
          <w:sz w:val="20"/>
          <w:szCs w:val="20"/>
          <w:color w:val="auto"/>
        </w:rPr>
      </w:pPr>
    </w:p>
    <w:p>
      <w:pPr>
        <w:ind w:right="160" w:firstLine="332"/>
        <w:spacing w:after="0" w:line="282" w:lineRule="auto"/>
        <w:rPr>
          <w:sz w:val="20"/>
          <w:szCs w:val="20"/>
          <w:color w:val="auto"/>
        </w:rPr>
      </w:pPr>
      <w:r>
        <w:rPr>
          <w:rFonts w:ascii="Arial" w:cs="Arial" w:eastAsia="Arial" w:hAnsi="Arial"/>
          <w:sz w:val="17"/>
          <w:szCs w:val="17"/>
          <w:color w:val="auto"/>
        </w:rPr>
        <w:t>A comparison of significant product group sales for the six months ended June 30 is as follows. Percent changes are versus the prior year and are based on unrounded numbers.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gridSpan w:val="5"/>
          </w:tcPr>
          <w:p>
            <w:pPr>
              <w:ind w:left="160"/>
              <w:spacing w:after="0"/>
              <w:rPr>
                <w:sz w:val="20"/>
                <w:szCs w:val="20"/>
                <w:color w:val="auto"/>
              </w:rPr>
            </w:pPr>
            <w:r>
              <w:rPr>
                <w:rFonts w:ascii="Arial" w:cs="Arial" w:eastAsia="Arial" w:hAnsi="Arial"/>
                <w:sz w:val="13"/>
                <w:szCs w:val="13"/>
                <w:b w:val="1"/>
                <w:bCs w:val="1"/>
                <w:color w:val="auto"/>
              </w:rPr>
              <w:t>Six Months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 Change Attributable</w:t>
            </w:r>
          </w:p>
        </w:tc>
      </w:tr>
      <w:tr>
        <w:trPr>
          <w:trHeight w:val="157"/>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0"/>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to Exchange</w:t>
            </w:r>
          </w:p>
        </w:tc>
        <w:tc>
          <w:tcPr>
            <w:tcW w:w="16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r>
      <w:tr>
        <w:trPr>
          <w:trHeight w:val="203"/>
        </w:trPr>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  1,828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1,455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2,188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4,259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3,643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617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496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585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407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390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378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173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195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17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increase in HUMIRA sales reflects market growth and higher market share across various countries as well as higher U.S. pricing. HUMIRA received approval from the European Commission in April 2012 and from the FDA in October 2012 for the treatment of moderately to severely active ulcerative colitis in adult patients who have had an inadequate response to conventional therapy. With its approval from the European Commission, HUMIRA became the first and only self-injectable biologic therapy for the treatment of moderately to severely active ulcerative colitis in adults. In July 2012, HUMIRA received approval from the European Commission for the treatment of severe axial spondyloarthritis in adult patients who have no X-ray evidence of structural damage. The approval marked the eighth indication for HUMIRA in the European Union.</w:t>
      </w:r>
    </w:p>
    <w:p>
      <w:pPr>
        <w:spacing w:after="0" w:line="18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increase in AndroGel sales reflects higher prices, market share gains, the launch of AndroGel 1.62% in the second quarter of 2011, and volume growth in the U.S. testosterone replacement market where AndroGel holds the number one market share position. The growth in U.S. Lupron sales is partially due to strong performance by the six-month formulation of Lupron Depot that was approved in 2011.</w:t>
      </w:r>
    </w:p>
    <w:p>
      <w:pPr>
        <w:spacing w:after="0" w:line="179" w:lineRule="exact"/>
        <w:rPr>
          <w:sz w:val="20"/>
          <w:szCs w:val="20"/>
          <w:color w:val="auto"/>
        </w:rPr>
      </w:pPr>
    </w:p>
    <w:p>
      <w:pPr>
        <w:ind w:right="80" w:firstLine="338"/>
        <w:spacing w:after="0" w:line="352" w:lineRule="auto"/>
        <w:rPr>
          <w:sz w:val="20"/>
          <w:szCs w:val="20"/>
          <w:color w:val="auto"/>
        </w:rPr>
      </w:pPr>
      <w:r>
        <w:rPr>
          <w:rFonts w:ascii="Arial" w:cs="Arial" w:eastAsia="Arial" w:hAnsi="Arial"/>
          <w:sz w:val="15"/>
          <w:szCs w:val="15"/>
          <w:color w:val="auto"/>
        </w:rPr>
        <w:t>The decline in TriCor, Trilipix, and Niaspan sales reflects softness in the overall branded cholesterol market, as well as continued impact from the 2011 results of the ACCORD and AIM-HIGH studies. The decline in Kaletra revenues is primarily due to lower market share in various countries due to the impact of 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280" w:firstLine="338"/>
        <w:spacing w:after="0" w:line="270" w:lineRule="auto"/>
        <w:rPr>
          <w:sz w:val="20"/>
          <w:szCs w:val="20"/>
          <w:color w:val="auto"/>
        </w:rPr>
      </w:pPr>
      <w:r>
        <w:rPr>
          <w:rFonts w:ascii="Arial" w:cs="Arial" w:eastAsia="Arial" w:hAnsi="Arial"/>
          <w:sz w:val="17"/>
          <w:szCs w:val="17"/>
          <w:color w:val="auto"/>
        </w:rPr>
        <w:t>The gross profit margin increased to 74.3 percent in the first six months of 2012 from 71.7 percent for the first six months of 2011 primarily due to favorable product mix, improved efficiencies and higher prices in the U.S., partially offset by pricing pressures in various other markets. It also reflects the positive impact in 2012 of 2011 restructuring programs to realign various manufacturing operations.</w:t>
      </w:r>
    </w:p>
    <w:p>
      <w:pPr>
        <w:spacing w:after="0" w:line="179"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Research and development expense increased 9.1 percent in the first six months 2012 over the first six months of 2011. The increase reflects continued pipeline spending on programs in biologics, neuroscience, and virology as well as a $50 million research and development milestone payment related to a product in development for the treatment of chronic kidney disease.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increased 12.3 percent in the first six months of 2012 over the first six months of 2011. This increase reflects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of approximately $100 million related to the government's investigation of AbbVie's sales and marketing activities related to Depakote,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$67 million for separation related expenses, higher selling and marketing support for existing products, and inflation. Excluding separation related expenses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Depakote charge, Selling, general and administrative expenses increased 4.8 percent.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Technology Acquisitions</w:t>
      </w:r>
    </w:p>
    <w:p>
      <w:pPr>
        <w:spacing w:after="0" w:line="228"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In the second quarter of 2012, Abbott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resulted in a payment of approximately $134 million in the first quarter of 2012 for which a liability was previously established.</w:t>
      </w:r>
    </w:p>
    <w:p>
      <w:pPr>
        <w:spacing w:after="0" w:line="224"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Condition—As of December 31, 2011, 2010 and 2009 and as of June 30,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Overview</w:t>
      </w:r>
    </w:p>
    <w:p>
      <w:pPr>
        <w:spacing w:after="0" w:line="22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Historically, AbbVie has generated and expects to continue to generate positive cash flow from operations. Cash flows related to financing activities reflect changes in Abbott's investment in AbbVie. Transfers of cash to and from Abbott are reflected as a component of Net parent company investment in AbbVie in the combined balance sheets. AbbVie has not reported cash or cash equivalents or short-term investment securities on its balance sheet for the periods presented except for the restricted funds discussed below and for cash and short-term investment securities held by a legal entity that will transfer to AbbVie.</w:t>
      </w:r>
    </w:p>
    <w:p>
      <w:pPr>
        <w:spacing w:after="0" w:line="169" w:lineRule="exact"/>
        <w:rPr>
          <w:sz w:val="20"/>
          <w:szCs w:val="20"/>
          <w:color w:val="auto"/>
        </w:rPr>
      </w:pPr>
    </w:p>
    <w:p>
      <w:pPr>
        <w:ind w:right="360" w:firstLine="341"/>
        <w:spacing w:after="0" w:line="265" w:lineRule="auto"/>
        <w:rPr>
          <w:sz w:val="20"/>
          <w:szCs w:val="20"/>
          <w:color w:val="auto"/>
        </w:rPr>
      </w:pPr>
      <w:r>
        <w:rPr>
          <w:rFonts w:ascii="Arial" w:cs="Arial" w:eastAsia="Arial" w:hAnsi="Arial"/>
          <w:sz w:val="17"/>
          <w:szCs w:val="17"/>
          <w:color w:val="auto"/>
        </w:rPr>
        <w:t>Subsequent to the separation, AbbVie will no longer participate in cash management and funding arrangements with Abbott. AbbVie's ability to fund its operations and capital needs will depend on its ongoing ability to generate cash from operations and access to capital markets. AbbVie believes that its future cash from operations and access to capital markets will provide adequate resources to fund its working capital needs, dividends, capital expenditures, and strategic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Net cash from operating activities amounted to $3.2 billion and $3.4 billion for the six months ended June 30, 2012 and 2011, respectively. Net cash from operating activities amounted to $6.2 billion, $5.0 billion and $5.4 billion in 2011, 2010 and 2009, respectively. Trade accounts payable and other liabilities in Net cash from operating activities in 2011 includes the non-cash impact of a litigation reserve of $1.5 billion. Other, net in Net cash from operating activities for six months ended June 30, 2012 includes payments of approximately $800 million to settle certain government investigations.</w:t>
      </w:r>
    </w:p>
    <w:p>
      <w:pPr>
        <w:spacing w:after="0" w:line="169"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United States Department of Justice, through the United States Attorney for the Western District of Virginia, and various state Attorneys General investigated AbbVie's previous sales and marketing activities for Depakote. AbbVie recorded non-cash charges of $1.5 billion in the third quarter of 2011 and $100 million in the first quarter of 2012. In May 2012, AbbVie reached resolution of all of the Depakote-related federal claims, Medicaid-related claims with 49 states and the District of Columbia, and consumer protection claims with 45 states and the District of Columbia. In addition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the payments of approximately $800 million in the second quarter of 2012, the remaining $800 million of the settlement was paid in October 2012. The payments did not materially affect AbbVie's liquidity as other cash flow from operations was sufficient to fund these payments.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In July 2012, AbbVie Inc. entered into a $7.5 billion 364-day bridge facility to support the separation from Abbott and a $2 billion five-year credit facility to support commercial paper borrowings after separation. Prior to or in connection with the separation, AbbVie expects to issue approximately $15.7 billion of debt, which is expected to include $2.5 billion of funding to provide liquidity for future operating and financing needs. AbbVie expects to begin operation as an independent company with approximately $7.2 billion of cash and short-term investments in total. At current interest rates, this level of cash and short-term investments would be expected to earn approximately $20 million on an annual basis. The targeted debt level was determined based on various factors including credit ratings considerations, anticipated business plans, projected operating results, and general economic conditions.</w:t>
      </w:r>
    </w:p>
    <w:p>
      <w:pPr>
        <w:spacing w:after="0" w:line="176"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judgment entered in 2009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28" w:lineRule="exact"/>
        <w:rPr>
          <w:sz w:val="20"/>
          <w:szCs w:val="20"/>
          <w:color w:val="auto"/>
        </w:rPr>
      </w:pPr>
    </w:p>
    <w:p>
      <w:pPr>
        <w:ind w:right="120" w:firstLine="332"/>
        <w:spacing w:after="0" w:line="322" w:lineRule="auto"/>
        <w:rPr>
          <w:sz w:val="20"/>
          <w:szCs w:val="20"/>
          <w:color w:val="auto"/>
        </w:rPr>
      </w:pPr>
      <w:r>
        <w:rPr>
          <w:rFonts w:ascii="Arial" w:cs="Arial" w:eastAsia="Arial" w:hAnsi="Arial"/>
          <w:sz w:val="15"/>
          <w:szCs w:val="15"/>
          <w:color w:val="auto"/>
        </w:rPr>
        <w:t>At June 30, 2012 and December 31, 2011 and 2010, working capital was $1.2 billion, $1.5 billion and $4.5 billion, respectively. The decrease in working capital in 2011 and in the first six months of 2012 was due to the release of restricted funds as well as an increase in the litigation loss accrual for charges related to the Depakote-related claims. The settlement of the Depakote-related claims is not expected to have a significant effect on working capital in future years.</w:t>
      </w:r>
    </w:p>
    <w:p>
      <w:pPr>
        <w:spacing w:after="0" w:line="145"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 xml:space="preserve">Substantially all of AbbVie's trade receivables in Greece, Portugal, Italy, and Spain are with governmental health systems. Given the economic conditions and sovereign debt issues in these countries, the time it takes to collect outstanding receivables increased in 2011. With the exception of Greece, AbbVie historically has collected almost all of the outstanding receivables in these countries. The table below summarizes the total outstanding net governmental trade receivables in each country and the amount over a year past due at June 30, 2012 and December 31, 2011 and 2010. </w:t>
      </w:r>
      <w:r>
        <w:rPr>
          <w:rFonts w:ascii="Arial" w:cs="Arial" w:eastAsia="Arial" w:hAnsi="Arial"/>
          <w:sz w:val="16"/>
          <w:szCs w:val="16"/>
          <w:i w:val="1"/>
          <w:iCs w:val="1"/>
          <w:color w:val="auto"/>
        </w:rPr>
        <w:t>(dollars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9"/>
          </w:tcPr>
          <w:p>
            <w:pPr>
              <w:ind w:left="120"/>
              <w:spacing w:after="0"/>
              <w:rPr>
                <w:sz w:val="20"/>
                <w:szCs w:val="20"/>
                <w:color w:val="auto"/>
              </w:rPr>
            </w:pPr>
            <w:r>
              <w:rPr>
                <w:rFonts w:ascii="Arial" w:cs="Arial" w:eastAsia="Arial" w:hAnsi="Arial"/>
                <w:sz w:val="13"/>
                <w:szCs w:val="13"/>
                <w:b w:val="1"/>
                <w:bCs w:val="1"/>
                <w:color w:val="auto"/>
              </w:rPr>
              <w:t>Amount Over One Year</w:t>
            </w:r>
          </w:p>
        </w:tc>
      </w:tr>
      <w:tr>
        <w:trPr>
          <w:trHeight w:val="157"/>
        </w:trPr>
        <w:tc>
          <w:tcPr>
            <w:tcW w:w="2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Total Outstanding</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6"/>
              </w:rPr>
              <w:t>Past Due</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6"/>
                <w:szCs w:val="16"/>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Spain</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7"/>
                <w:szCs w:val="17"/>
                <w:color w:val="auto"/>
              </w:rPr>
              <w:t>Italy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Portugal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Greece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7"/>
                <w:szCs w:val="17"/>
                <w:color w:val="auto"/>
              </w:rPr>
            </w:pPr>
          </w:p>
        </w:tc>
      </w:tr>
      <w:tr>
        <w:trPr>
          <w:trHeight w:val="26"/>
        </w:trPr>
        <w:tc>
          <w:tcPr>
            <w:tcW w:w="2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continues to monitor the credit worthiness of customers located in these and other geographic areas and establishes an allowance against trade receivables when it is probable that the balance will not be collected. In addition to closely monitoring economic conditions and budgetary and other fiscal developments in these countries, AbbVie regularly communicates with its customers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regarding the status of receivable balances, including their payment plans and obtains positive confirmation of the validity of the receivables. AbbVie also monitors the potential for and periodically has utilized factoring arrangements to mitigate credit risk although the receivables included in such arrangements have historically not been a material amount of total outstanding receivables. If government funding were to become unavailable in these countries or if significant adverse changes in their reimbursement practices were to occur, AbbVie may not be able to collect the entire balance.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Capital expenditures of $256 million in 2012 (six months), $356 million in 2011, $448 million in 2010 and $313 million in 2009 were principally for upgrading and expanding manufacturing, research and development, investments in information technology and administrative support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and research and development operations in order to reduce costs. In 2011 and 2009, AbbVie recorded charges of approximately $160 million and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$27 million, respectively, for employee severance and other related charges. Approximately $42 million in 2011 is classified as Cost of products sold, $69 million as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and $49 million as Selling, general and administrative. Approximately $27 million was classified in 2009 as Selling, general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administrative. The following summarizes the activity for these restructurings: </w:t>
      </w:r>
      <w:r>
        <w:rPr>
          <w:rFonts w:ascii="Arial" w:cs="Arial" w:eastAsia="Arial" w:hAnsi="Arial"/>
          <w:sz w:val="17"/>
          <w:szCs w:val="17"/>
          <w:i w:val="1"/>
          <w:iCs w:val="1"/>
          <w:color w:val="auto"/>
        </w:rPr>
        <w:t>(dollars in millions)</w:t>
      </w:r>
    </w:p>
    <w:p>
      <w:pPr>
        <w:sectPr>
          <w:pgSz w:w="11900" w:h="16838" w:orient="portrait"/>
          <w:cols w:equalWidth="0" w:num="1">
            <w:col w:w="11420"/>
          </w:cols>
          <w:pgMar w:left="240" w:top="131" w:right="239" w:bottom="1440" w:gutter="0" w:footer="0" w:header="0"/>
        </w:sect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-110490</wp:posOffset>
            </wp:positionV>
            <wp:extent cx="5069840" cy="133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Accrued balance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hanging="317"/>
        <w:spacing w:after="0"/>
        <w:tabs>
          <w:tab w:leader="none" w:pos="3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77</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hanging="317"/>
        <w:spacing w:after="0"/>
        <w:tabs>
          <w:tab w:leader="none" w:pos="3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079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3079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360"/>
          </w:cols>
          <w:pgMar w:left="240" w:top="131" w:right="239" w:bottom="1440" w:gutter="0" w:footer="0" w:header="0"/>
          <w:type w:val="continuous"/>
        </w:sectPr>
      </w:pPr>
    </w:p>
    <w:p>
      <w:pPr>
        <w:spacing w:after="0" w:line="90"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An additional $30 million, $26 million, $7 million and $7 million were subsequently recorded in 2012 (six months), 2011, 2010 and 2009, respectively, relating to these restructurings, primarily for accelerated depreciation.</w:t>
      </w:r>
    </w:p>
    <w:p>
      <w:pPr>
        <w:spacing w:after="0" w:line="170" w:lineRule="exact"/>
        <w:rPr>
          <w:sz w:val="20"/>
          <w:szCs w:val="20"/>
          <w:color w:val="auto"/>
        </w:rPr>
      </w:pPr>
    </w:p>
    <w:p>
      <w:pPr>
        <w:jc w:val="both"/>
        <w:ind w:right="60" w:firstLine="341"/>
        <w:spacing w:after="0" w:line="322"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9" w:name="page140"/>
    <w:bookmarkEnd w:id="13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$126 million and $15 million, respectively. The following summarizes the employee severance activity for this restructuring: </w:t>
      </w:r>
      <w:r>
        <w:rPr>
          <w:rFonts w:ascii="Arial" w:cs="Arial" w:eastAsia="Arial" w:hAnsi="Arial"/>
          <w:sz w:val="17"/>
          <w:szCs w:val="17"/>
          <w:i w:val="1"/>
          <w:iCs w:val="1"/>
          <w:color w:val="auto"/>
        </w:rPr>
        <w:t>(dollars in millions)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2010 employee severance charge</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2010</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2011</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 2012</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5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summarizes AbbVie's estimated contractual obligations as of December 31, 2011: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3"/>
                <w:szCs w:val="13"/>
                <w:b w:val="1"/>
                <w:bCs w:val="1"/>
                <w:color w:val="auto"/>
              </w:rPr>
              <w:t>Payment Due By Period</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89"/>
              </w:rPr>
              <w:t>2017 and</w:t>
            </w:r>
          </w:p>
        </w:tc>
        <w:tc>
          <w:tcPr>
            <w:tcW w:w="140" w:type="dxa"/>
            <w:vAlign w:val="bottom"/>
          </w:tcPr>
          <w:p>
            <w:pPr>
              <w:spacing w:after="0"/>
              <w:rPr>
                <w:sz w:val="10"/>
                <w:szCs w:val="10"/>
                <w:color w:val="auto"/>
              </w:rPr>
            </w:pPr>
          </w:p>
        </w:tc>
      </w:t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2013-2014</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2015-2016</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Thereafter</w:t>
            </w:r>
          </w:p>
        </w:tc>
        <w:tc>
          <w:tcPr>
            <w:tcW w:w="140" w:type="dxa"/>
            <w:vAlign w:val="bottom"/>
          </w:tcPr>
          <w:p>
            <w:pPr>
              <w:spacing w:after="0"/>
              <w:rPr>
                <w:sz w:val="13"/>
                <w:szCs w:val="13"/>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obligations(a)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Capitalized auto lease obligations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commitments(b)</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w w:val="95"/>
              </w:rPr>
              <w:t>Other long-term liabilities reflected on the combined balance sheet—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Benefit plan obligations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Other(c)</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1,103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470</w:t>
            </w: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803</w:t>
            </w:r>
          </w:p>
        </w:tc>
      </w:tr>
      <w:tr>
        <w:trPr>
          <w:trHeight w:val="26"/>
        </w:trPr>
        <w:tc>
          <w:tcPr>
            <w:tcW w:w="24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total excludes lease arrangements that AbbVie may enter into with Abbott at separation.</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Purchase commitments are for purchases made in the normal course of business to meet operational and capital expenditure requirements.</w:t>
      </w:r>
    </w:p>
    <w:p>
      <w:pPr>
        <w:spacing w:after="0" w:line="260" w:lineRule="exact"/>
        <w:rPr>
          <w:rFonts w:ascii="Arial" w:cs="Arial" w:eastAsia="Arial" w:hAnsi="Arial"/>
          <w:sz w:val="15"/>
          <w:szCs w:val="15"/>
          <w:color w:val="auto"/>
        </w:rPr>
      </w:pPr>
    </w:p>
    <w:p>
      <w:pPr>
        <w:ind w:left="1680" w:right="300" w:hanging="533"/>
        <w:spacing w:after="0" w:line="282" w:lineRule="auto"/>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"Other" in Other long-term liabilities includes deferred income taxes, contingent consideration related to a business combination, accrued royalties, and miscellaneous other long-term liabilities.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total excludes obligations that result from financing arrangements that AbbVie may enter into at or prior to the separation.</w:t>
      </w:r>
    </w:p>
    <w:p>
      <w:pPr>
        <w:spacing w:after="0" w:line="224"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enters into research and development collaboration arrangements with third parties that may require future milestone payments to the third party contingent upon the achievement of certain development, regulatory, or commercial milestones. It is not possible to predict with reasonable certainty whether these milestones will be achieved or the timing for achievement. These potential payments are not included in the table of contractual obligations above due to the contingent nature of these payments. See the subsection titled "Business Combinations, Technology Acquisitions and Related Transactions" for a further discussion of these collaboration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28" w:lineRule="exact"/>
        <w:rPr>
          <w:sz w:val="20"/>
          <w:szCs w:val="20"/>
          <w:color w:val="auto"/>
        </w:rPr>
      </w:pPr>
    </w:p>
    <w:p>
      <w:pPr>
        <w:ind w:right="740" w:firstLine="341"/>
        <w:spacing w:after="0" w:line="282"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Issues</w:t>
      </w:r>
    </w:p>
    <w:p>
      <w:pPr>
        <w:spacing w:after="0" w:line="228" w:lineRule="exact"/>
        <w:rPr>
          <w:sz w:val="20"/>
          <w:szCs w:val="20"/>
          <w:color w:val="auto"/>
        </w:rPr>
      </w:pPr>
    </w:p>
    <w:p>
      <w:pPr>
        <w:ind w:right="60" w:firstLine="341"/>
        <w:spacing w:after="0" w:line="296" w:lineRule="auto"/>
        <w:rPr>
          <w:sz w:val="20"/>
          <w:szCs w:val="20"/>
          <w:color w:val="auto"/>
        </w:rPr>
      </w:pPr>
      <w:r>
        <w:rPr>
          <w:rFonts w:ascii="Arial" w:cs="Arial" w:eastAsia="Arial" w:hAnsi="Arial"/>
          <w:sz w:val="15"/>
          <w:szCs w:val="15"/>
          <w:color w:val="auto"/>
        </w:rPr>
        <w:t>In the first quarter 2010, the Patient Protection and Affordable Care Act and the Health Care and Education Reconciliation Act (collectively referred to herein as "health care reform legislation") were signed into law in the U.S. Health care reform legislation included an increase in the basic Medicaid rebate rate from</w:t>
      </w:r>
    </w:p>
    <w:p>
      <w:pPr>
        <w:spacing w:after="0" w:line="275" w:lineRule="auto"/>
        <w:rPr>
          <w:sz w:val="20"/>
          <w:szCs w:val="20"/>
          <w:color w:val="auto"/>
        </w:rPr>
      </w:pPr>
      <w:r>
        <w:rPr>
          <w:rFonts w:ascii="Arial" w:cs="Arial" w:eastAsia="Arial" w:hAnsi="Arial"/>
          <w:sz w:val="17"/>
          <w:szCs w:val="17"/>
          <w:color w:val="auto"/>
        </w:rPr>
        <w:t>15.1 percent to 23.1 percent and extended the rebate to drugs provided through Medicaid managed care organizations. These Medicaid rebate changes will continue to have a negative effect on AbbVie's gross profit margin in future years.</w:t>
      </w:r>
    </w:p>
    <w:p>
      <w:pPr>
        <w:spacing w:after="0" w:line="17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2011, AbbVie began recording the annual fee imposed by health care reform legislation on companies that sell branded prescription drugs to specified government programs. The amount of the annual fee, which totaled approximately $100 million in 2011, is based on the ratio of certain of AbbVie's sales as compared to the total such sales of all covered entities multiplied by a fixed dollar amount specified in the legislation by year. The fee is not tax deductible and is included in Selling, general, and administrative expenses. In 2011, additional rebates were incurred related to the Medicare Part D coverage gap "donut hole."</w:t>
      </w:r>
    </w:p>
    <w:p>
      <w:pPr>
        <w:spacing w:after="0" w:line="169"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AbbVie's markets are highly competitive and subject to substantial government regulations. AbbVie expects debate to continue over the availability, method of delivery, and payment for health care products and services. It is not possible to predict the extent to which AbbVie or the health care industry in general might be adversely affected by these factors in the future. A more complete discussion of these factors is contained in the "Risk Factors" and "Business" sections of this information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and Risk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Sensitive Investments</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holds available-for-sale equity securities from strategic technology acquisitions. The market value of these investments was approximately $58 million and $35 million as of December 31, 2011 and 2010, respectively. AbbVie monitors these investments for other than temporary declines in market value, and charges impairment losses to income when an other than temporary decline in value occurs. A hypothetical 20 percent decrease in the share prices of these investments would decrease their fair value at December 31, 2011 by approximately $12 million. (A 20 percent decrease is believed to be a reasonably possible near-term change in share prices.)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Non-Publicly Traded Equity Securities</w:t>
      </w:r>
    </w:p>
    <w:p>
      <w:pPr>
        <w:spacing w:after="0" w:line="228" w:lineRule="exact"/>
        <w:rPr>
          <w:sz w:val="20"/>
          <w:szCs w:val="20"/>
          <w:color w:val="auto"/>
        </w:rPr>
      </w:pPr>
    </w:p>
    <w:p>
      <w:pPr>
        <w:ind w:right="40" w:firstLine="332"/>
        <w:spacing w:after="0" w:line="296" w:lineRule="auto"/>
        <w:rPr>
          <w:sz w:val="20"/>
          <w:szCs w:val="20"/>
          <w:color w:val="auto"/>
        </w:rPr>
      </w:pPr>
      <w:r>
        <w:rPr>
          <w:rFonts w:ascii="Arial" w:cs="Arial" w:eastAsia="Arial" w:hAnsi="Arial"/>
          <w:sz w:val="15"/>
          <w:szCs w:val="15"/>
          <w:color w:val="auto"/>
        </w:rPr>
        <w:t>AbbVie holds equity securities from strategic technology acquisitions that are not traded on public stock exchanges. The carrying value of these investments was approximately $171 million and $102 million as of December 31, 2011 and 2010, respectively. AbbVie increased its equity investment in one company from</w:t>
      </w:r>
    </w:p>
    <w:p>
      <w:pPr>
        <w:ind w:right="340"/>
        <w:spacing w:after="0" w:line="266" w:lineRule="auto"/>
        <w:rPr>
          <w:sz w:val="20"/>
          <w:szCs w:val="20"/>
          <w:color w:val="auto"/>
        </w:rPr>
      </w:pPr>
      <w:r>
        <w:rPr>
          <w:rFonts w:ascii="Arial" w:cs="Arial" w:eastAsia="Arial" w:hAnsi="Arial"/>
          <w:sz w:val="17"/>
          <w:szCs w:val="17"/>
          <w:color w:val="auto"/>
        </w:rPr>
        <w:t>$62 million at December 31, 2010 to $124 million at December 31, 2011. No other individual investment is in excess of $13 million. AbbVie monitors these investments for other than temporary declines in market value, and charges impairment losses to income when an other than temporary decline in estimated value occurs.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Sensitive Financial Instruments</w:t>
      </w:r>
    </w:p>
    <w:p>
      <w:pPr>
        <w:spacing w:after="0" w:line="228" w:lineRule="exact"/>
        <w:rPr>
          <w:sz w:val="20"/>
          <w:szCs w:val="20"/>
          <w:color w:val="auto"/>
        </w:rPr>
      </w:pPr>
    </w:p>
    <w:p>
      <w:pPr>
        <w:ind w:right="100" w:firstLine="338"/>
        <w:spacing w:after="0" w:line="262" w:lineRule="auto"/>
        <w:rPr>
          <w:sz w:val="20"/>
          <w:szCs w:val="20"/>
          <w:color w:val="auto"/>
        </w:rPr>
      </w:pPr>
      <w:r>
        <w:rPr>
          <w:rFonts w:ascii="Arial" w:cs="Arial" w:eastAsia="Arial" w:hAnsi="Arial"/>
          <w:sz w:val="17"/>
          <w:szCs w:val="17"/>
          <w:color w:val="auto"/>
        </w:rPr>
        <w:t>Various AbbVie foreign operations enter into foreign currency forward exchange contracts to manage exposures to changes in foreign exchange rates for anticipated intercompany purchases by those operations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Deferred gains or losses on these contracts are included in Cost of products sold at the time the products are sold to a third party, generally within the next twelve months. At December 31, 2011 and 2010, AbbVie held $249 million and $364 million, respectively, of such contracts, which all mature in the following calendar year.</w:t>
      </w:r>
    </w:p>
    <w:p>
      <w:pPr>
        <w:spacing w:after="0" w:line="188"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reflects the total foreign currency forward contracts outstanding at December 31, 2011 and 2010: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3"/>
              <w:spacing w:after="0" w:line="124" w:lineRule="exact"/>
              <w:rPr>
                <w:sz w:val="20"/>
                <w:szCs w:val="20"/>
                <w:color w:val="auto"/>
              </w:rPr>
            </w:pPr>
            <w:r>
              <w:rPr>
                <w:rFonts w:ascii="Arial" w:cs="Arial" w:eastAsia="Arial" w:hAnsi="Arial"/>
                <w:sz w:val="13"/>
                <w:szCs w:val="13"/>
                <w:b w:val="1"/>
                <w:bCs w:val="1"/>
                <w:color w:val="auto"/>
                <w:w w:val="94"/>
              </w:rPr>
              <w:t>Fair and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
              <w:spacing w:after="0" w:line="124" w:lineRule="exact"/>
              <w:rPr>
                <w:sz w:val="20"/>
                <w:szCs w:val="20"/>
                <w:color w:val="auto"/>
              </w:rPr>
            </w:pPr>
            <w:r>
              <w:rPr>
                <w:rFonts w:ascii="Arial" w:cs="Arial" w:eastAsia="Arial" w:hAnsi="Arial"/>
                <w:sz w:val="13"/>
                <w:szCs w:val="13"/>
                <w:b w:val="1"/>
                <w:bCs w:val="1"/>
                <w:color w:val="auto"/>
                <w:w w:val="94"/>
              </w:rPr>
              <w:t>Fair and</w:t>
            </w:r>
          </w:p>
        </w:tc>
        <w:tc>
          <w:tcPr>
            <w:tcW w:w="126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2"/>
              </w:rPr>
              <w:t>Value</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Contract</w:t>
            </w: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Exchange</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Receivable/</w:t>
            </w:r>
          </w:p>
        </w:tc>
        <w:tc>
          <w:tcPr>
            <w:tcW w:w="8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Contract</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Exchange</w:t>
            </w:r>
          </w:p>
        </w:tc>
        <w:tc>
          <w:tcPr>
            <w:tcW w:w="2040" w:type="dxa"/>
            <w:vAlign w:val="bottom"/>
            <w:gridSpan w:val="4"/>
          </w:tcPr>
          <w:p>
            <w:pPr>
              <w:jc w:val="center"/>
              <w:ind w:right="1240"/>
              <w:spacing w:after="0" w:line="144" w:lineRule="exact"/>
              <w:rPr>
                <w:sz w:val="20"/>
                <w:szCs w:val="20"/>
                <w:color w:val="auto"/>
              </w:rPr>
            </w:pPr>
            <w:r>
              <w:rPr>
                <w:rFonts w:ascii="Arial" w:cs="Arial" w:eastAsia="Arial" w:hAnsi="Arial"/>
                <w:sz w:val="13"/>
                <w:szCs w:val="13"/>
                <w:b w:val="1"/>
                <w:bCs w:val="1"/>
                <w:color w:val="auto"/>
                <w:w w:val="89"/>
              </w:rPr>
              <w:t>Receivable/</w:t>
            </w:r>
          </w:p>
        </w:tc>
      </w:t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(Payable)</w:t>
            </w: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Pr>
          <w:p>
            <w:pPr>
              <w:spacing w:after="0"/>
              <w:rPr>
                <w:sz w:val="13"/>
                <w:szCs w:val="13"/>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3"/>
                <w:szCs w:val="13"/>
                <w:b w:val="1"/>
                <w:bCs w:val="1"/>
                <w:color w:val="auto"/>
                <w:w w:val="93"/>
              </w:rPr>
              <w:t>(Payable)</w:t>
            </w:r>
          </w:p>
        </w:tc>
      </w:tr>
      <w:tr>
        <w:trPr>
          <w:trHeight w:val="194"/>
        </w:trPr>
        <w:tc>
          <w:tcPr>
            <w:tcW w:w="1140" w:type="dxa"/>
            <w:vAlign w:val="bottom"/>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Receive primarily U.S. Dollars in exchange for the</w:t>
            </w: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following currencies: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Euro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1,656</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1,483</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British Pound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Japanese Yen</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578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424</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Canadian Dollar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All other currencies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794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747</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3,221</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68</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80" w:firstLine="332"/>
        <w:spacing w:after="0" w:line="283" w:lineRule="auto"/>
        <w:rPr>
          <w:sz w:val="20"/>
          <w:szCs w:val="20"/>
          <w:color w:val="auto"/>
        </w:rPr>
      </w:pPr>
      <w:r>
        <w:rPr>
          <w:rFonts w:ascii="Arial" w:cs="Arial" w:eastAsia="Arial" w:hAnsi="Arial"/>
          <w:sz w:val="16"/>
          <w:szCs w:val="16"/>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w:t>
      </w:r>
    </w:p>
    <w:p>
      <w:pPr>
        <w:spacing w:after="0" w:line="174"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2011, AbbVie generated revenue of approximately $17.4 billion, growing 11.6 percent from 2010, with net earnings of $3.4 billion. AbbVie's revenues are generated worldwide, with approximately 55 percent of 2011 revenue, or $9.7 billion, generated in the United States, approximately 31 percent, or $5.4 billion, in the European Union and other developed markets, and approximately 14 percent, or $2.3 billion, in emerging markets. No country other than the United States accounted for more than 10% of AbbVie's 2011 revenues.</w:t>
      </w:r>
    </w:p>
    <w:p>
      <w:pPr>
        <w:spacing w:after="0" w:line="185" w:lineRule="exact"/>
        <w:rPr>
          <w:sz w:val="20"/>
          <w:szCs w:val="20"/>
          <w:color w:val="auto"/>
        </w:rPr>
      </w:pPr>
    </w:p>
    <w:p>
      <w:pPr>
        <w:jc w:val="both"/>
        <w:ind w:right="80" w:firstLine="332"/>
        <w:spacing w:after="0" w:line="270" w:lineRule="auto"/>
        <w:rPr>
          <w:sz w:val="20"/>
          <w:szCs w:val="20"/>
          <w:color w:val="auto"/>
        </w:rPr>
      </w:pPr>
      <w:r>
        <w:rPr>
          <w:rFonts w:ascii="Arial" w:cs="Arial" w:eastAsia="Arial" w:hAnsi="Arial"/>
          <w:sz w:val="17"/>
          <w:szCs w:val="17"/>
          <w:color w:val="auto"/>
        </w:rPr>
        <w:t>AbbVie has a strong portfolio of marketed products led by HUMIRA. HUMIRA is approved for seven indications in the United States and eight in the European Union, and is also in development for a number of additional indications. Since the launch of HUMIRA in 2003, AbbVie has successfully grown worldwide sales of the product to approximately $7.9 billion in 2011.</w:t>
      </w:r>
    </w:p>
    <w:p>
      <w:pPr>
        <w:spacing w:after="0" w:line="179"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2010 acquisitions of Facet Biotech Corporation and the U.S. pharmaceuticals business of Solvay Pharmaceuticals added several new products to AbbVie's portfolio, including the U.S. rights to AndroGel and Creon, and enhanced AbbVie's early- and mid-stage pipeline by adding a biologic for multiple sclerosis and compounds that complement AbbVie's oncology program. These acquisitions are discussed more fully in the section titled "Management's Discussion and Analysis of Financial Condition and Results of Operations—Business Combinations, Technology Acquisitions and Related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AbbVie's long-lived assets consisting of net property and equipment in the U.S. and Puerto Rico totaled approximately $1.5 billion as of December 31, 2011.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Outside the U.S. and Puerto Rico, no country accounts for a material amount of AbbVie's long-lived assets.</w:t>
      </w:r>
    </w:p>
    <w:p>
      <w:pPr>
        <w:spacing w:after="0" w:line="21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was incorporated in Delaware on April 10, 2012, in connection with the separation of Abbott Laboratories' research-based pharmaceuticals business from its diversified medical products businesses, including Abbott's established pharmaceuticals business, which focuses primarily on branded generic pharmaceutical products outside of the United States. After the separation, AbbVie is expected to be a Fortune 200 company. The company's corporate offices are located at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Strengths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seven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indications 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diagnosis, demographics, and market penetration. AbbVie's products demonstrate strong clinical performance for the patient and economic value for the payor.</w:t>
      </w:r>
    </w:p>
    <w:p>
      <w:pPr>
        <w:spacing w:after="0" w:line="236"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AbbVie's investigational interferon-free HCV treatment, which is currently in Phase III development, has the potential to shorten and simplify treatment and increase cure rates. In addition, other Phase III programs include: daclizumab for multiple sclerosis; a levodopa-carbidopa intestinal gel (LGIC) in the United States for advanced Parkinson's disease; elagolix for endometriosis; elotuzumab for multiple myeloma; and several new Humira indications. AbbVie's pipeline also includes 10 compounds or new indications in mid-stage trials, including several that are expected to advance to Phase III within the next 18 months.</w:t>
      </w:r>
    </w:p>
    <w:p>
      <w:pPr>
        <w:spacing w:after="0" w:line="188"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will allow the company to continue to invest in its pipeline and return cash to stockholders in the form of dividends.</w:t>
      </w:r>
    </w:p>
    <w:p>
      <w:pPr>
        <w:spacing w:after="0" w:line="179"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b w:val="1"/>
          <w:bCs w:val="1"/>
          <w:i w:val="1"/>
          <w:iCs w:val="1"/>
          <w:color w:val="auto"/>
        </w:rPr>
        <w:t xml:space="preserve">Experienced management team with track record of successful performance. </w:t>
      </w:r>
      <w:r>
        <w:rPr>
          <w:rFonts w:ascii="Arial" w:cs="Arial" w:eastAsia="Arial" w:hAnsi="Arial"/>
          <w:sz w:val="15"/>
          <w:szCs w:val="15"/>
          <w:color w:val="auto"/>
        </w:rPr>
        <w:t>AbbVie's management team has a strong track record of performance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execution. Richard A. Gonzalez, who has served as Executive Vice President of Abbott's Pharmaceutical Products Group since 2010, will be AbbVie's Chairman of the Board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Abbott's Treasurer, will be AbbVie's Executive Vice President Chief Financial Officer. Laura J. Schumacher, who has served as Executive Vice President, General Counsel and Corporate Secretary of Abbott, with additional responsibility for Abbott's licensing and acquisitions function and its Office of Ethics and Compliance, will be AbbVie's Executive Vice President, Business Development and External Affairs and General Counsel. Ms. Schumacher has served over 20 years at Abbott and was head of Abbott's litigation department before being appointed General Counsel. Carlos Alban, who has served over 25 years at Abbott, including as Senior Vice President, Proprietary Pharmaceutical Products, Global Commercial Operations and Senior Vice President, International Pharmaceuticals, is expected to be named AbbVie's Executive Vice President, Global Commercial Operations. John M. Leonard, M.D., who has served over 20 years in various capacities at Abbott, including most recently as Senior Vice President, Pharmaceuticals, Research and Development, is expected to be named Senior Vice President, Chief Scientific Officer of AbbVie. Timothy J. Richmond, who has served more than 5 years at Abbott, most recently as Divisional Vice President of Compensation and Benefits, will be Senior Vice President, Chief Human Resources Officer of AbbVie. Azita Saleki-Gerhardt, who has served over 15 years at Abbott, most recently as Vice President, Pharmaceuticals Manufacturing and Supply, is expected to be named AbbVie's Senior Vice President, Operations. Thomas A. Hurwich, who has served over 25 years at Abbott, most recently as Vice President, Internal Audit, is expected to be named Vice President, Controller of AbbVie.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Expanding HUMIRA sales. </w:t>
      </w:r>
      <w:r>
        <w:rPr>
          <w:rFonts w:ascii="Arial" w:cs="Arial" w:eastAsia="Arial" w:hAnsi="Arial"/>
          <w:sz w:val="16"/>
          <w:szCs w:val="16"/>
          <w:color w:val="auto"/>
        </w:rPr>
        <w:t>AbbVie expects to continue to drive strong HUMIRA sales growth in two ways. First, AbbVie is seeking to expand patients'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biologic, HUMIRA. Worldwide use of biologics in applicable populations continues to be low, ranging from mid-single digit percentages in moderate to severe plaque psoriasis to the mid-20s for conditions such as moderate to severe rheumatoid arthritis and moderate to severe Crohn's disease. AbbVie believes that there is significant room for increasing clinically appropriate use across all of HUMIRA's therapeutic areas, particularly in international markets. By encouraging early diagnosis and proper use of HUMIRA for clinically appropriate patients, AbbVie intends to increase the number of patients using HUMIRA to treat their autoimmune conditions. Second, AbbVie is seeking to expand the HUMIRA patient base by applying for regulatory approval of new indications for HUMIRA, treating conditions such as axial and peripheral spondyloarthritis and uveitis.</w:t>
      </w:r>
    </w:p>
    <w:p>
      <w:pPr>
        <w:spacing w:after="0" w:line="175" w:lineRule="exact"/>
        <w:rPr>
          <w:sz w:val="20"/>
          <w:szCs w:val="20"/>
          <w:color w:val="auto"/>
        </w:rPr>
      </w:pPr>
    </w:p>
    <w:p>
      <w:pPr>
        <w:ind w:right="20" w:firstLine="335"/>
        <w:spacing w:after="0" w:line="303" w:lineRule="auto"/>
        <w:rPr>
          <w:sz w:val="20"/>
          <w:szCs w:val="20"/>
          <w:color w:val="auto"/>
        </w:rPr>
      </w:pPr>
      <w:r>
        <w:rPr>
          <w:rFonts w:ascii="Arial" w:cs="Arial" w:eastAsia="Arial" w:hAnsi="Arial"/>
          <w:sz w:val="15"/>
          <w:szCs w:val="15"/>
          <w:b w:val="1"/>
          <w:bCs w:val="1"/>
          <w:i w:val="1"/>
          <w:iCs w:val="1"/>
          <w:color w:val="auto"/>
        </w:rPr>
        <w:t xml:space="preserve">Advancing the pipeline. </w:t>
      </w:r>
      <w:r>
        <w:rPr>
          <w:rFonts w:ascii="Arial" w:cs="Arial" w:eastAsia="Arial" w:hAnsi="Arial"/>
          <w:sz w:val="15"/>
          <w:szCs w:val="15"/>
          <w:color w:val="auto"/>
        </w:rPr>
        <w:t>AbbVie's goal is to bring to market products that demonstrate strong clinical performance for patients and economic value for payors.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company's pipeline includes both small molecules and targeted biologic therapies, and a mix of new compounds and new indications. The company has more than 20 compounds or indications in Phase II or III development individually and under collaboration or license agreements. From 2013 through 2016, AbbVie anticipates new product launches, including: AbbVie's interferon-free regimen for the treatment of HCV; a levodopa-carbidopa intestinal gel (LGIC) in the United States for advanced Parkinson's disease; elotuzumab, a humanized monoclonal antibody for the treatment of multiple myeloma; daclizumab, a monoclonal antibody for the treatment of multiple sclerosis; ABT-199, a next-generation bcl-2 inhibitor in development for chronic lymphocytic leukemia; and new indications for HUMIRA.</w:t>
      </w:r>
    </w:p>
    <w:p>
      <w:pPr>
        <w:spacing w:after="0" w:line="162"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of HUMIRA and other leading products is expected to help drive growth in these markets.</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believes that its approach will allow the company to maintain a strong operating margin on existing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portfolio of proprietary products includes a broad line of adult and pediatric pharmaceuticals.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7"/>
          <w:szCs w:val="17"/>
          <w:b w:val="1"/>
          <w:bCs w:val="1"/>
          <w:i w:val="1"/>
          <w:iCs w:val="1"/>
          <w:color w:val="auto"/>
        </w:rPr>
        <w:t>HUMIRA.</w:t>
      </w:r>
      <w:r>
        <w:rPr>
          <w:sz w:val="20"/>
          <w:szCs w:val="20"/>
          <w:color w:val="auto"/>
        </w:rPr>
        <w:tab/>
      </w:r>
      <w:r>
        <w:rPr>
          <w:rFonts w:ascii="Arial" w:cs="Arial" w:eastAsia="Arial" w:hAnsi="Arial"/>
          <w:sz w:val="15"/>
          <w:szCs w:val="15"/>
          <w:color w:val="auto"/>
        </w:rPr>
        <w:t>HUMIRA is a biologic therapy administered as a subcutaneous injection. It is approved to treat the following seven autoimmune diseases in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United States, five in Canada, and six in Mexico (collectively, North America), and eight autoimmune diseases in the European Union: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Condition</w:t>
            </w:r>
          </w:p>
        </w:tc>
        <w:tc>
          <w:tcPr>
            <w:tcW w:w="4580" w:type="dxa"/>
            <w:vAlign w:val="bottom"/>
          </w:tcPr>
          <w:p>
            <w:pPr>
              <w:spacing w:after="0"/>
              <w:rPr>
                <w:sz w:val="13"/>
                <w:szCs w:val="13"/>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Principal Markets</w:t>
            </w:r>
          </w:p>
        </w:tc>
      </w:tr>
      <w:tr>
        <w:trPr>
          <w:trHeight w:val="194"/>
        </w:trPr>
        <w:tc>
          <w:tcPr>
            <w:tcW w:w="520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Rheumatoid arthritis (moderate to severe)</w:t>
            </w:r>
          </w:p>
        </w:tc>
        <w:tc>
          <w:tcPr>
            <w:tcW w:w="3920" w:type="dxa"/>
            <w:vAlign w:val="bottom"/>
          </w:tcPr>
          <w:p>
            <w:pPr>
              <w:spacing w:after="0" w:line="194" w:lineRule="exact"/>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Psoriatic arthritis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Ankylosing spondylitis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Crohn's disease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Plaque psoriasis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Juvenile idiopathic arthritis</w:t>
            </w:r>
          </w:p>
        </w:tc>
        <w:tc>
          <w:tcPr>
            <w:tcW w:w="3920" w:type="dxa"/>
            <w:vAlign w:val="bottom"/>
          </w:tcPr>
          <w:p>
            <w:pPr>
              <w:spacing w:after="0"/>
              <w:rPr>
                <w:sz w:val="20"/>
                <w:szCs w:val="20"/>
                <w:color w:val="auto"/>
              </w:rPr>
            </w:pPr>
            <w:r>
              <w:rPr>
                <w:rFonts w:ascii="Arial" w:cs="Arial" w:eastAsia="Arial" w:hAnsi="Arial"/>
                <w:sz w:val="17"/>
                <w:szCs w:val="17"/>
                <w:color w:val="auto"/>
                <w:w w:val="99"/>
              </w:rPr>
              <w:t>North America (excluding Canada),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Ulcerative colitis (moderate to severe)</w:t>
            </w:r>
          </w:p>
        </w:tc>
        <w:tc>
          <w:tcPr>
            <w:tcW w:w="3920" w:type="dxa"/>
            <w:vAlign w:val="bottom"/>
          </w:tcPr>
          <w:p>
            <w:pPr>
              <w:spacing w:after="0"/>
              <w:rPr>
                <w:sz w:val="20"/>
                <w:szCs w:val="20"/>
                <w:color w:val="auto"/>
              </w:rPr>
            </w:pPr>
            <w:r>
              <w:rPr>
                <w:rFonts w:ascii="Arial" w:cs="Arial" w:eastAsia="Arial" w:hAnsi="Arial"/>
                <w:sz w:val="17"/>
                <w:szCs w:val="17"/>
                <w:color w:val="auto"/>
              </w:rPr>
              <w:t>United States, European Union</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Axial spondyloarthritis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HUMIRA is also approved in over 60 other markets, including Japan, Brazil, and Australia.</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Autoimmune diseases develop when underlying defects in the immune system lead the body to attack its own organs, tissues, and cells. These chronic illnesses occur in nearly every part of the body, from joints to skin to the gastrointestinal tract. The worldwide use of biologics, such as HUMIRA, to treat autoimmune diseases continues to grow, especially in psoriasis, spondyloarthritis, and gastrointestinal indications.</w:t>
      </w:r>
    </w:p>
    <w:p>
      <w:pPr>
        <w:spacing w:after="0" w:line="179" w:lineRule="exact"/>
        <w:rPr>
          <w:sz w:val="20"/>
          <w:szCs w:val="20"/>
          <w:color w:val="auto"/>
        </w:rPr>
      </w:pPr>
    </w:p>
    <w:p>
      <w:pPr>
        <w:ind w:right="200" w:firstLine="341"/>
        <w:spacing w:after="0" w:line="265" w:lineRule="auto"/>
        <w:rPr>
          <w:sz w:val="20"/>
          <w:szCs w:val="20"/>
          <w:color w:val="auto"/>
        </w:rPr>
      </w:pPr>
      <w:r>
        <w:rPr>
          <w:rFonts w:ascii="Arial" w:cs="Arial" w:eastAsia="Arial" w:hAnsi="Arial"/>
          <w:sz w:val="17"/>
          <w:szCs w:val="17"/>
          <w:color w:val="auto"/>
        </w:rPr>
        <w:t>HUMIRA was introduced to the market in January 2003 and has an established track record of safety and efficacy. Its worldwide sales have grown to approximately $7.9 billion in 2011, compared to $6.5 billion in 2010 and $5.6 billion in 2009. HUMIRA accounted for approximately 45 percent of AbbVie's total sales in 2011. The United States composition of matter (that is, compound) patent covering adalimumab is expected to expire in December 2016, and the equivalent European Union patent is expected to expire in the majority of EU countries in April 2018.</w:t>
      </w:r>
    </w:p>
    <w:p>
      <w:pPr>
        <w:spacing w:after="0" w:line="185"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continues to dedicate substantial research and development efforts to expanding indications for HUMIRA, including in the fields of rheumatology (peripheral spondyloarthritis, axial spondyloarthritis and pediatric enthesitis related arthritis), gastroenterology (pediatric Crohn's disease), dermatology (pediatric psoriasis and hidradenitis suppurativa), and ophthalmology (uveitis). AbbVie believes that these additional indications, if approved, will further differentiate HUMIRA. For pediatric Crohn's disease, the European Union registration was submitted in October 2011 and the United States submission is expected to be made in early 2013. A Japanese application for ulcerative colitis was submitted in March 2012. Phase III trials are ongoing in preparation for regulatory applications for: uveitis in the United States, the European Union, and Japan; peripheral and axial spondyloarthritis in the United States; peripheral spondyloarthritis in the European Union and hidradenitis suppurativa in the United States and the European Union.</w:t>
      </w:r>
    </w:p>
    <w:p>
      <w:pPr>
        <w:spacing w:after="0" w:line="175"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b w:val="1"/>
          <w:bCs w:val="1"/>
          <w:i w:val="1"/>
          <w:iCs w:val="1"/>
          <w:color w:val="auto"/>
        </w:rPr>
        <w:t xml:space="preserve">Metabolics/Hormones products. </w:t>
      </w:r>
      <w:r>
        <w:rPr>
          <w:rFonts w:ascii="Arial" w:cs="Arial" w:eastAsia="Arial" w:hAnsi="Arial"/>
          <w:sz w:val="17"/>
          <w:szCs w:val="17"/>
          <w:color w:val="auto"/>
        </w:rPr>
        <w:t>Metabolics/Hormones products target a number of conditions, including pancreatic insufficiency, testosterone deficiency,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hypothyroidism. AbbVie's Metabolics/Hormones products had combined sales of $1.7 billion in 2011. These products include:</w:t>
      </w:r>
    </w:p>
    <w:p>
      <w:pPr>
        <w:spacing w:after="0" w:line="170" w:lineRule="exact"/>
        <w:rPr>
          <w:sz w:val="20"/>
          <w:szCs w:val="20"/>
          <w:color w:val="auto"/>
        </w:rPr>
      </w:pPr>
    </w:p>
    <w:p>
      <w:pPr>
        <w:ind w:left="520" w:right="80" w:firstLine="341"/>
        <w:spacing w:after="0" w:line="270" w:lineRule="auto"/>
        <w:rPr>
          <w:sz w:val="20"/>
          <w:szCs w:val="20"/>
          <w:color w:val="auto"/>
        </w:rPr>
      </w:pPr>
      <w:r>
        <w:rPr>
          <w:rFonts w:ascii="Arial" w:cs="Arial" w:eastAsia="Arial" w:hAnsi="Arial"/>
          <w:sz w:val="17"/>
          <w:szCs w:val="17"/>
          <w:i w:val="1"/>
          <w:iCs w:val="1"/>
          <w:color w:val="auto"/>
        </w:rPr>
        <w:t xml:space="preserve">Synthroid. </w:t>
      </w:r>
      <w:r>
        <w:rPr>
          <w:rFonts w:ascii="Arial" w:cs="Arial" w:eastAsia="Arial" w:hAnsi="Arial"/>
          <w:sz w:val="17"/>
          <w:szCs w:val="17"/>
          <w:color w:val="auto"/>
        </w:rPr>
        <w:t>Synthroid, used in the treatment of hypothyroidism, is one of the most-widely prescribed products in the United States. AbbVie's 2011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Synthroid totaled $522 million. Although generic alternatives have been available since 2004, many physicians continue to choose to prescribe Synthroid rather than generic alternatives.</w:t>
      </w:r>
    </w:p>
    <w:p>
      <w:pPr>
        <w:spacing w:after="0" w:line="179" w:lineRule="exact"/>
        <w:rPr>
          <w:sz w:val="20"/>
          <w:szCs w:val="20"/>
          <w:color w:val="auto"/>
        </w:rPr>
      </w:pPr>
    </w:p>
    <w:p>
      <w:pPr>
        <w:jc w:val="both"/>
        <w:ind w:left="520" w:right="120" w:firstLine="338"/>
        <w:spacing w:after="0" w:line="270" w:lineRule="auto"/>
        <w:rPr>
          <w:sz w:val="20"/>
          <w:szCs w:val="20"/>
          <w:color w:val="auto"/>
        </w:rPr>
      </w:pPr>
      <w:r>
        <w:rPr>
          <w:rFonts w:ascii="Arial" w:cs="Arial" w:eastAsia="Arial" w:hAnsi="Arial"/>
          <w:sz w:val="17"/>
          <w:szCs w:val="17"/>
          <w:i w:val="1"/>
          <w:iCs w:val="1"/>
          <w:color w:val="auto"/>
        </w:rPr>
        <w:t xml:space="preserve">AndroGel. </w:t>
      </w:r>
      <w:r>
        <w:rPr>
          <w:rFonts w:ascii="Arial" w:cs="Arial" w:eastAsia="Arial" w:hAnsi="Arial"/>
          <w:sz w:val="17"/>
          <w:szCs w:val="17"/>
          <w:color w:val="auto"/>
        </w:rPr>
        <w:t>AndroGel is a daily testosterone replacement therapy that is available in two strengths: 1 percent and 1.62 percent. AbbVie's 2011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AndroGel totaled $874 million. AndroGel is the leading therapy for the treatment of testosterone deficiency in the United States, and AbbVie expects that the testosterone replacement market will continue to grow in the United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States as a result of demographic trends, increasing awareness of testosterone deficiency and increased rates of usage.</w:t>
      </w:r>
    </w:p>
    <w:p>
      <w:pPr>
        <w:spacing w:after="0" w:line="224" w:lineRule="exact"/>
        <w:rPr>
          <w:sz w:val="20"/>
          <w:szCs w:val="20"/>
          <w:color w:val="auto"/>
        </w:rPr>
      </w:pPr>
    </w:p>
    <w:p>
      <w:pPr>
        <w:ind w:left="520" w:right="320" w:firstLine="341"/>
        <w:spacing w:after="0" w:line="282" w:lineRule="auto"/>
        <w:rPr>
          <w:sz w:val="20"/>
          <w:szCs w:val="20"/>
          <w:color w:val="auto"/>
        </w:rPr>
      </w:pPr>
      <w:r>
        <w:rPr>
          <w:rFonts w:ascii="Arial" w:cs="Arial" w:eastAsia="Arial" w:hAnsi="Arial"/>
          <w:sz w:val="17"/>
          <w:szCs w:val="17"/>
          <w:i w:val="1"/>
          <w:iCs w:val="1"/>
          <w:color w:val="auto"/>
        </w:rPr>
        <w:t xml:space="preserve">Creon. </w:t>
      </w:r>
      <w:r>
        <w:rPr>
          <w:rFonts w:ascii="Arial" w:cs="Arial" w:eastAsia="Arial" w:hAnsi="Arial"/>
          <w:sz w:val="17"/>
          <w:szCs w:val="17"/>
          <w:color w:val="auto"/>
        </w:rPr>
        <w:t>Creon is the leading pancreatic enzyme therapy for exocrine pancreatic insufficiency, a condition that occurs in patients with cystic fibrosis,</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pancreatitis, and several other conditions. AbbVie's 2011 sales of Creon totaled $332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has the rights to sell Synthroid, AndroGel, and Creon only in the United States.</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b w:val="1"/>
          <w:bCs w:val="1"/>
          <w:i w:val="1"/>
          <w:iCs w:val="1"/>
          <w:color w:val="auto"/>
        </w:rPr>
        <w:t xml:space="preserve">Virology products. </w:t>
      </w:r>
      <w:r>
        <w:rPr>
          <w:rFonts w:ascii="Arial" w:cs="Arial" w:eastAsia="Arial" w:hAnsi="Arial"/>
          <w:sz w:val="17"/>
          <w:szCs w:val="17"/>
          <w:color w:val="auto"/>
        </w:rPr>
        <w:t>AbbVie's virology products include two leading products for the treatment of HIV infection, Kaletra and Norvir. Worldwide sales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were $1.6 billion in 2011.</w:t>
      </w:r>
    </w:p>
    <w:p>
      <w:pPr>
        <w:spacing w:after="0" w:line="170" w:lineRule="exact"/>
        <w:rPr>
          <w:sz w:val="20"/>
          <w:szCs w:val="20"/>
          <w:color w:val="auto"/>
        </w:rPr>
      </w:pPr>
    </w:p>
    <w:p>
      <w:pPr>
        <w:ind w:left="520" w:right="220" w:firstLine="341"/>
        <w:spacing w:after="0" w:line="270" w:lineRule="auto"/>
        <w:rPr>
          <w:sz w:val="20"/>
          <w:szCs w:val="20"/>
          <w:color w:val="auto"/>
        </w:rPr>
      </w:pPr>
      <w:r>
        <w:rPr>
          <w:rFonts w:ascii="Arial" w:cs="Arial" w:eastAsia="Arial" w:hAnsi="Arial"/>
          <w:sz w:val="17"/>
          <w:szCs w:val="17"/>
          <w:i w:val="1"/>
          <w:iCs w:val="1"/>
          <w:color w:val="auto"/>
        </w:rPr>
        <w:t xml:space="preserve">Kaletra. </w:t>
      </w:r>
      <w:r>
        <w:rPr>
          <w:rFonts w:ascii="Arial" w:cs="Arial" w:eastAsia="Arial" w:hAnsi="Arial"/>
          <w:sz w:val="17"/>
          <w:szCs w:val="17"/>
          <w:color w:val="auto"/>
        </w:rPr>
        <w:t>Kaletra (also marketed as Aluvia in emerging markets) is a prescription anti-HIV-1 medicine that contains two protease inhibitors: lopinavir</w:t>
      </w:r>
      <w:r>
        <w:rPr>
          <w:rFonts w:ascii="Arial" w:cs="Arial" w:eastAsia="Arial" w:hAnsi="Arial"/>
          <w:sz w:val="17"/>
          <w:szCs w:val="17"/>
          <w:i w:val="1"/>
          <w:iCs w:val="1"/>
          <w:color w:val="auto"/>
        </w:rPr>
        <w:t xml:space="preserve"> </w:t>
      </w:r>
      <w:r>
        <w:rPr>
          <w:rFonts w:ascii="Arial" w:cs="Arial" w:eastAsia="Arial" w:hAnsi="Arial"/>
          <w:sz w:val="17"/>
          <w:szCs w:val="17"/>
          <w:color w:val="auto"/>
        </w:rPr>
        <w:t>and ritonavir. Kaletra is used with other anti-HIV-1 medications to increase the chance of treatment response in people with HIV-1. AbbVie's 2011 sales of Kaletra totaled $1.17 billion.</w:t>
      </w:r>
    </w:p>
    <w:p>
      <w:pPr>
        <w:spacing w:after="0" w:line="179" w:lineRule="exact"/>
        <w:rPr>
          <w:sz w:val="20"/>
          <w:szCs w:val="20"/>
          <w:color w:val="auto"/>
        </w:rPr>
      </w:pPr>
    </w:p>
    <w:p>
      <w:pPr>
        <w:ind w:left="520" w:right="20" w:firstLine="341"/>
        <w:spacing w:after="0" w:line="282" w:lineRule="auto"/>
        <w:rPr>
          <w:sz w:val="20"/>
          <w:szCs w:val="20"/>
          <w:color w:val="auto"/>
        </w:rPr>
      </w:pPr>
      <w:r>
        <w:rPr>
          <w:rFonts w:ascii="Arial" w:cs="Arial" w:eastAsia="Arial" w:hAnsi="Arial"/>
          <w:sz w:val="17"/>
          <w:szCs w:val="17"/>
          <w:i w:val="1"/>
          <w:iCs w:val="1"/>
          <w:color w:val="auto"/>
        </w:rPr>
        <w:t xml:space="preserve">Norvir. </w:t>
      </w:r>
      <w:r>
        <w:rPr>
          <w:rFonts w:ascii="Arial" w:cs="Arial" w:eastAsia="Arial" w:hAnsi="Arial"/>
          <w:sz w:val="17"/>
          <w:szCs w:val="17"/>
          <w:color w:val="auto"/>
        </w:rPr>
        <w:t>Norvir (ritonavir) is a protease inhibitor that is indicated in combination with other antiretroviral agents for the treatment of HIV-1 infection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a long track record of efficacy and safety. AbbVie's 2011 sales of Norvir totaled $419 million.</w:t>
      </w:r>
    </w:p>
    <w:p>
      <w:pPr>
        <w:spacing w:after="0" w:line="170"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Endocrinology products. </w:t>
      </w:r>
      <w:r>
        <w:rPr>
          <w:rFonts w:ascii="Arial" w:cs="Arial" w:eastAsia="Arial" w:hAnsi="Arial"/>
          <w:sz w:val="17"/>
          <w:szCs w:val="17"/>
          <w:color w:val="auto"/>
        </w:rPr>
        <w:t>Lupron (also marketed as Lucrin and Lupron Depot) is a product for the palliative treatment of advanced prostate cancer,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endometriosis and central precocious puberty, and for the preoperative treatment of patients with anemia caused by uterine fibroids. Lupron is approved for both daily subcutaneous injection and one-month, three-month, four-month and six-month intramuscular injection. Lupron generated sales of approximately $800 million in 2011 in select markets worldwide.</w:t>
      </w:r>
    </w:p>
    <w:p>
      <w:pPr>
        <w:spacing w:after="0" w:line="185"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7"/>
          <w:szCs w:val="17"/>
          <w:b w:val="1"/>
          <w:bCs w:val="1"/>
          <w:i w:val="1"/>
          <w:iCs w:val="1"/>
          <w:color w:val="auto"/>
        </w:rPr>
        <w:t>Dyslipidemia products.</w:t>
      </w:r>
      <w:r>
        <w:rPr>
          <w:sz w:val="20"/>
          <w:szCs w:val="20"/>
          <w:color w:val="auto"/>
        </w:rPr>
        <w:tab/>
      </w:r>
      <w:r>
        <w:rPr>
          <w:rFonts w:ascii="Arial" w:cs="Arial" w:eastAsia="Arial" w:hAnsi="Arial"/>
          <w:sz w:val="15"/>
          <w:szCs w:val="15"/>
          <w:color w:val="auto"/>
        </w:rPr>
        <w:t>AbbVie's dyslipidemia products address the range of metabolic conditions characterized by high cholesterol and/or high triglycerides.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These products, which generated sales of $2.5 billion in 2011, are primarily marketed to primary care physicians, and include:</w:t>
      </w:r>
    </w:p>
    <w:p>
      <w:pPr>
        <w:spacing w:after="0" w:line="218" w:lineRule="exact"/>
        <w:rPr>
          <w:sz w:val="20"/>
          <w:szCs w:val="20"/>
          <w:color w:val="auto"/>
        </w:rPr>
      </w:pPr>
    </w:p>
    <w:p>
      <w:pPr>
        <w:jc w:val="both"/>
        <w:ind w:left="520" w:right="60" w:firstLine="341"/>
        <w:spacing w:after="0" w:line="294" w:lineRule="auto"/>
        <w:rPr>
          <w:sz w:val="20"/>
          <w:szCs w:val="20"/>
          <w:color w:val="auto"/>
        </w:rPr>
      </w:pPr>
      <w:r>
        <w:rPr>
          <w:rFonts w:ascii="Arial" w:cs="Arial" w:eastAsia="Arial" w:hAnsi="Arial"/>
          <w:sz w:val="16"/>
          <w:szCs w:val="16"/>
          <w:i w:val="1"/>
          <w:iCs w:val="1"/>
          <w:color w:val="auto"/>
        </w:rPr>
        <w:t xml:space="preserve">TriCor and Trilipix. </w:t>
      </w:r>
      <w:r>
        <w:rPr>
          <w:rFonts w:ascii="Arial" w:cs="Arial" w:eastAsia="Arial" w:hAnsi="Arial"/>
          <w:sz w:val="16"/>
          <w:szCs w:val="16"/>
          <w:color w:val="auto"/>
        </w:rPr>
        <w:t>TriCor and Trilipix are fibric acid derivatives that are indicated as adjuncts to diet to reduce total cholesterol, LDL cholesterol, and</w:t>
      </w:r>
      <w:r>
        <w:rPr>
          <w:rFonts w:ascii="Arial" w:cs="Arial" w:eastAsia="Arial" w:hAnsi="Arial"/>
          <w:sz w:val="16"/>
          <w:szCs w:val="16"/>
          <w:i w:val="1"/>
          <w:iCs w:val="1"/>
          <w:color w:val="auto"/>
        </w:rPr>
        <w:t xml:space="preserve"> </w:t>
      </w:r>
      <w:r>
        <w:rPr>
          <w:rFonts w:ascii="Arial" w:cs="Arial" w:eastAsia="Arial" w:hAnsi="Arial"/>
          <w:sz w:val="16"/>
          <w:szCs w:val="16"/>
          <w:color w:val="auto"/>
        </w:rPr>
        <w:t>triglyceride levels, which are key contributors to cardiovascular disease, and to increase the cardioprotective HDL cholesterol levels. AbbVie has the rights to sell TriCor and Trilipix only in the United States. AbbVie's 2011 sales of TriCor and Trilipix totaled $987 million and $385 million, respectively.</w:t>
      </w:r>
    </w:p>
    <w:p>
      <w:pPr>
        <w:spacing w:after="0" w:line="163" w:lineRule="exact"/>
        <w:rPr>
          <w:sz w:val="20"/>
          <w:szCs w:val="20"/>
          <w:color w:val="auto"/>
        </w:rPr>
      </w:pPr>
    </w:p>
    <w:p>
      <w:pPr>
        <w:ind w:left="520" w:right="320" w:firstLine="341"/>
        <w:spacing w:after="0" w:line="270" w:lineRule="auto"/>
        <w:rPr>
          <w:sz w:val="20"/>
          <w:szCs w:val="20"/>
          <w:color w:val="auto"/>
        </w:rPr>
      </w:pPr>
      <w:r>
        <w:rPr>
          <w:rFonts w:ascii="Arial" w:cs="Arial" w:eastAsia="Arial" w:hAnsi="Arial"/>
          <w:sz w:val="17"/>
          <w:szCs w:val="17"/>
          <w:i w:val="1"/>
          <w:iCs w:val="1"/>
          <w:color w:val="auto"/>
        </w:rPr>
        <w:t xml:space="preserve">Niaspan. </w:t>
      </w:r>
      <w:r>
        <w:rPr>
          <w:rFonts w:ascii="Arial" w:cs="Arial" w:eastAsia="Arial" w:hAnsi="Arial"/>
          <w:sz w:val="17"/>
          <w:szCs w:val="17"/>
          <w:color w:val="auto"/>
        </w:rPr>
        <w:t>Niaspan is an extended release form of niacin that is indicated as an adjunct to diet to reduce total cholesterol, LDL cholesterol, and</w:t>
      </w:r>
      <w:r>
        <w:rPr>
          <w:rFonts w:ascii="Arial" w:cs="Arial" w:eastAsia="Arial" w:hAnsi="Arial"/>
          <w:sz w:val="17"/>
          <w:szCs w:val="17"/>
          <w:i w:val="1"/>
          <w:iCs w:val="1"/>
          <w:color w:val="auto"/>
        </w:rPr>
        <w:t xml:space="preserve"> </w:t>
      </w:r>
      <w:r>
        <w:rPr>
          <w:rFonts w:ascii="Arial" w:cs="Arial" w:eastAsia="Arial" w:hAnsi="Arial"/>
          <w:sz w:val="17"/>
          <w:szCs w:val="17"/>
          <w:color w:val="auto"/>
        </w:rPr>
        <w:t>triglyceride levels, and to increase HDL cholesterol levels. AbbVie has the rights to sell Niaspan only in the United States. AbbVie's 2011 sales of Niaspan totaled $976 million.</w:t>
      </w:r>
    </w:p>
    <w:p>
      <w:pPr>
        <w:spacing w:after="0" w:line="179" w:lineRule="exact"/>
        <w:rPr>
          <w:sz w:val="20"/>
          <w:szCs w:val="20"/>
          <w:color w:val="auto"/>
        </w:rPr>
      </w:pPr>
    </w:p>
    <w:p>
      <w:pPr>
        <w:ind w:left="520" w:right="80" w:firstLine="341"/>
        <w:spacing w:after="0" w:line="265" w:lineRule="auto"/>
        <w:rPr>
          <w:sz w:val="20"/>
          <w:szCs w:val="20"/>
          <w:color w:val="auto"/>
        </w:rPr>
      </w:pPr>
      <w:r>
        <w:rPr>
          <w:rFonts w:ascii="Arial" w:cs="Arial" w:eastAsia="Arial" w:hAnsi="Arial"/>
          <w:sz w:val="17"/>
          <w:szCs w:val="17"/>
          <w:i w:val="1"/>
          <w:iCs w:val="1"/>
          <w:color w:val="auto"/>
        </w:rPr>
        <w:t xml:space="preserve">Simcor. </w:t>
      </w:r>
      <w:r>
        <w:rPr>
          <w:rFonts w:ascii="Arial" w:cs="Arial" w:eastAsia="Arial" w:hAnsi="Arial"/>
          <w:sz w:val="17"/>
          <w:szCs w:val="17"/>
          <w:color w:val="auto"/>
        </w:rPr>
        <w:t>Simcor is a combination product that contains extended release niacin and simvastatin that is indicated as an adjunct to diet to reduce total</w:t>
      </w:r>
      <w:r>
        <w:rPr>
          <w:rFonts w:ascii="Arial" w:cs="Arial" w:eastAsia="Arial" w:hAnsi="Arial"/>
          <w:sz w:val="17"/>
          <w:szCs w:val="17"/>
          <w:i w:val="1"/>
          <w:iCs w:val="1"/>
          <w:color w:val="auto"/>
        </w:rPr>
        <w:t xml:space="preserve"> </w:t>
      </w:r>
      <w:r>
        <w:rPr>
          <w:rFonts w:ascii="Arial" w:cs="Arial" w:eastAsia="Arial" w:hAnsi="Arial"/>
          <w:sz w:val="17"/>
          <w:szCs w:val="17"/>
          <w:color w:val="auto"/>
        </w:rPr>
        <w:t>cholesterol, LDL cholesterol, and triglyceride levels, and to increase HDL cholesterol levels. Simcor is used when treatment with simvastatin or niacin extended-release alone is not sufficient to achieve target lipid levels. AbbVie does not have the rights to sell Simcor in Canada. AbbVie's 2011 sales of Simcor totaled $104 million.</w:t>
      </w:r>
    </w:p>
    <w:p>
      <w:pPr>
        <w:spacing w:after="0" w:line="185"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7"/>
          <w:szCs w:val="17"/>
          <w:b w:val="1"/>
          <w:bCs w:val="1"/>
          <w:i w:val="1"/>
          <w:iCs w:val="1"/>
          <w:color w:val="auto"/>
        </w:rPr>
        <w:t>Other products.</w:t>
      </w:r>
      <w:r>
        <w:rPr>
          <w:sz w:val="20"/>
          <w:szCs w:val="20"/>
          <w:color w:val="auto"/>
        </w:rPr>
        <w:tab/>
      </w:r>
      <w:r>
        <w:rPr>
          <w:rFonts w:ascii="Arial" w:cs="Arial" w:eastAsia="Arial" w:hAnsi="Arial"/>
          <w:sz w:val="15"/>
          <w:szCs w:val="15"/>
          <w:color w:val="auto"/>
        </w:rPr>
        <w:t>AbbVie has a number of other products that combined to generate sales of approximately $2.9 billion in 2011, including the following:</w:t>
      </w:r>
    </w:p>
    <w:p>
      <w:pPr>
        <w:spacing w:after="0" w:line="224" w:lineRule="exact"/>
        <w:rPr>
          <w:sz w:val="20"/>
          <w:szCs w:val="20"/>
          <w:color w:val="auto"/>
        </w:rPr>
      </w:pPr>
    </w:p>
    <w:p>
      <w:pPr>
        <w:ind w:left="520" w:right="60" w:firstLine="341"/>
        <w:spacing w:after="0" w:line="282" w:lineRule="auto"/>
        <w:rPr>
          <w:sz w:val="20"/>
          <w:szCs w:val="20"/>
          <w:color w:val="auto"/>
        </w:rPr>
      </w:pPr>
      <w:r>
        <w:rPr>
          <w:rFonts w:ascii="Arial" w:cs="Arial" w:eastAsia="Arial" w:hAnsi="Arial"/>
          <w:sz w:val="17"/>
          <w:szCs w:val="17"/>
          <w:i w:val="1"/>
          <w:iCs w:val="1"/>
          <w:color w:val="auto"/>
        </w:rPr>
        <w:t xml:space="preserve">Synagis. </w:t>
      </w:r>
      <w:r>
        <w:rPr>
          <w:rFonts w:ascii="Arial" w:cs="Arial" w:eastAsia="Arial" w:hAnsi="Arial"/>
          <w:sz w:val="17"/>
          <w:szCs w:val="17"/>
          <w:color w:val="auto"/>
        </w:rPr>
        <w:t>Synagis is a product marketed outside of the United States that protects at-risk infants from severe respiratory disease, or respiratory syncytial</w:t>
      </w:r>
      <w:r>
        <w:rPr>
          <w:rFonts w:ascii="Arial" w:cs="Arial" w:eastAsia="Arial" w:hAnsi="Arial"/>
          <w:sz w:val="17"/>
          <w:szCs w:val="17"/>
          <w:i w:val="1"/>
          <w:iCs w:val="1"/>
          <w:color w:val="auto"/>
        </w:rPr>
        <w:t xml:space="preserve"> </w:t>
      </w:r>
      <w:r>
        <w:rPr>
          <w:rFonts w:ascii="Arial" w:cs="Arial" w:eastAsia="Arial" w:hAnsi="Arial"/>
          <w:sz w:val="17"/>
          <w:szCs w:val="17"/>
          <w:color w:val="auto"/>
        </w:rPr>
        <w:t>virus (RSV). AbbVie's 2011 sales of Synagis totaled $792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860"/>
        <w:spacing w:after="0"/>
        <w:tabs>
          <w:tab w:leader="none" w:pos="2480" w:val="left"/>
        </w:tabs>
        <w:rPr>
          <w:sz w:val="20"/>
          <w:szCs w:val="20"/>
          <w:color w:val="auto"/>
        </w:rPr>
      </w:pPr>
      <w:r>
        <w:rPr>
          <w:rFonts w:ascii="Arial" w:cs="Arial" w:eastAsia="Arial" w:hAnsi="Arial"/>
          <w:sz w:val="17"/>
          <w:szCs w:val="17"/>
          <w:i w:val="1"/>
          <w:iCs w:val="1"/>
          <w:color w:val="auto"/>
        </w:rPr>
        <w:t>Anesthesia products.</w:t>
      </w:r>
      <w:r>
        <w:rPr>
          <w:sz w:val="20"/>
          <w:szCs w:val="20"/>
          <w:color w:val="auto"/>
        </w:rPr>
        <w:tab/>
      </w:r>
      <w:r>
        <w:rPr>
          <w:rFonts w:ascii="Arial" w:cs="Arial" w:eastAsia="Arial" w:hAnsi="Arial"/>
          <w:sz w:val="15"/>
          <w:szCs w:val="15"/>
          <w:color w:val="auto"/>
        </w:rPr>
        <w:t>Sevoflurane (sold under the trademarks Ultane and Sevorane) is an anesthesia product that AbbVie sells worldwide for human use.</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AbbVie's 2011 sales of Sevoflurane totaled $665 million.</w:t>
      </w:r>
    </w:p>
    <w:p>
      <w:pPr>
        <w:spacing w:after="0" w:line="218" w:lineRule="exact"/>
        <w:rPr>
          <w:sz w:val="20"/>
          <w:szCs w:val="20"/>
          <w:color w:val="auto"/>
        </w:rPr>
      </w:pPr>
    </w:p>
    <w:p>
      <w:pPr>
        <w:ind w:left="520" w:right="240" w:firstLine="341"/>
        <w:spacing w:after="0" w:line="270" w:lineRule="auto"/>
        <w:rPr>
          <w:sz w:val="20"/>
          <w:szCs w:val="20"/>
          <w:color w:val="auto"/>
        </w:rPr>
      </w:pPr>
      <w:r>
        <w:rPr>
          <w:rFonts w:ascii="Arial" w:cs="Arial" w:eastAsia="Arial" w:hAnsi="Arial"/>
          <w:sz w:val="17"/>
          <w:szCs w:val="17"/>
          <w:i w:val="1"/>
          <w:iCs w:val="1"/>
          <w:color w:val="auto"/>
        </w:rPr>
        <w:t xml:space="preserve">Duodopa and Duopa. </w:t>
      </w:r>
      <w:r>
        <w:rPr>
          <w:rFonts w:ascii="Arial" w:cs="Arial" w:eastAsia="Arial" w:hAnsi="Arial"/>
          <w:sz w:val="17"/>
          <w:szCs w:val="17"/>
          <w:color w:val="auto"/>
        </w:rPr>
        <w:t>Duodopa is a levodopa-carbidopa intestinal gel (LGIC) marketed outside of the United States to treat advanced Parkinson's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AbbVie's 2011 sales of Duodopa totaled $125 million. This LGIC therapy is currently in Phase III development in the United States under the name Duopa, with an expected regulatory filing in 2012.</w:t>
      </w:r>
    </w:p>
    <w:p>
      <w:pPr>
        <w:spacing w:after="0" w:line="179" w:lineRule="exact"/>
        <w:rPr>
          <w:sz w:val="20"/>
          <w:szCs w:val="20"/>
          <w:color w:val="auto"/>
        </w:rPr>
      </w:pPr>
    </w:p>
    <w:p>
      <w:pPr>
        <w:ind w:left="520" w:right="340" w:firstLine="341"/>
        <w:spacing w:after="0" w:line="282" w:lineRule="auto"/>
        <w:rPr>
          <w:sz w:val="20"/>
          <w:szCs w:val="20"/>
          <w:color w:val="auto"/>
        </w:rPr>
      </w:pPr>
      <w:r>
        <w:rPr>
          <w:rFonts w:ascii="Arial" w:cs="Arial" w:eastAsia="Arial" w:hAnsi="Arial"/>
          <w:sz w:val="17"/>
          <w:szCs w:val="17"/>
          <w:i w:val="1"/>
          <w:iCs w:val="1"/>
          <w:color w:val="auto"/>
        </w:rPr>
        <w:t xml:space="preserve">Zemplar. </w:t>
      </w:r>
      <w:r>
        <w:rPr>
          <w:rFonts w:ascii="Arial" w:cs="Arial" w:eastAsia="Arial" w:hAnsi="Arial"/>
          <w:sz w:val="17"/>
          <w:szCs w:val="17"/>
          <w:color w:val="auto"/>
        </w:rPr>
        <w:t>Zemplar is a product sold worldwide for the prevention and treatment of secondary hyperparathyroidism associated with Stage 3, 4, and 5</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kidney disease (CKD). AbbVie's 2011 sales of Zemplar totaled $409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Advancing Pharmaceutical Pipeline</w:t>
      </w:r>
    </w:p>
    <w:p>
      <w:pPr>
        <w:spacing w:after="0" w:line="228"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seeks to develop unique, innovative medicines that hold promise in addressing unmet medical needs in specialty areas in order to bring to market medicines that have strong clinical performance, patient benefit, and economic value to customers. AbbVie is studying a variety of promising compounds in the areas of virology, renal disease, neuroscience, oncology, immunology, and women's health, among others.</w:t>
      </w:r>
    </w:p>
    <w:p>
      <w:pPr>
        <w:spacing w:after="0" w:line="179"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b w:val="1"/>
          <w:bCs w:val="1"/>
          <w:i w:val="1"/>
          <w:iCs w:val="1"/>
          <w:color w:val="auto"/>
        </w:rPr>
        <w:t xml:space="preserve">Virology. </w:t>
      </w:r>
      <w:r>
        <w:rPr>
          <w:rFonts w:ascii="Arial" w:cs="Arial" w:eastAsia="Arial" w:hAnsi="Arial"/>
          <w:sz w:val="17"/>
          <w:szCs w:val="17"/>
          <w:color w:val="auto"/>
        </w:rPr>
        <w:t>The hepatitis C virus (HCV) affects more than 170 million people worldwide, with approximately three to four million patients newly diagnosed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HCV is a heterogeneous disease with numerous genotypes and subtypes that are not always susceptible to the same treatment regimens. More than 350,000 people are estimated to die from hepatitis C-related liver diseases each year. HCV infections can potentially lead to long-term complications, including severe scarring of the liver, liver cancer, or death. The worldwide market for HCV therapies is currently approximately $3 billion and is expected to be four to five times larger by 2020. The treatment landscape continues to evolve. Current treatment regimens are long and complex, requiring interferon, which has many negative side effects. The goals for AbbVie's HCV program are to markedly transform current treatment practices by combining drugs with various mechanisms of action to shorten therapy duration, improve tolerability and increase cure rates.</w:t>
      </w:r>
    </w:p>
    <w:p>
      <w:pPr>
        <w:spacing w:after="0" w:line="190" w:lineRule="exact"/>
        <w:rPr>
          <w:sz w:val="20"/>
          <w:szCs w:val="20"/>
          <w:color w:val="auto"/>
        </w:rPr>
      </w:pPr>
    </w:p>
    <w:p>
      <w:pPr>
        <w:ind w:right="840" w:firstLine="332"/>
        <w:spacing w:after="0" w:line="282" w:lineRule="auto"/>
        <w:rPr>
          <w:sz w:val="20"/>
          <w:szCs w:val="20"/>
          <w:color w:val="auto"/>
        </w:rPr>
      </w:pPr>
      <w:r>
        <w:rPr>
          <w:rFonts w:ascii="Arial" w:cs="Arial" w:eastAsia="Arial" w:hAnsi="Arial"/>
          <w:sz w:val="17"/>
          <w:szCs w:val="17"/>
          <w:color w:val="auto"/>
        </w:rPr>
        <w:t>AbbVie has released positive Phase II and Phase IIb results from interferon-free studies for the treatment of HCV. In October 2012, AbbVie initiated a comprehensive Phase III program for HCV genotype one.</w:t>
      </w:r>
    </w:p>
    <w:p>
      <w:pPr>
        <w:spacing w:after="0" w:line="170" w:lineRule="exact"/>
        <w:rPr>
          <w:sz w:val="20"/>
          <w:szCs w:val="20"/>
          <w:color w:val="auto"/>
        </w:rPr>
      </w:pPr>
    </w:p>
    <w:p>
      <w:pPr>
        <w:ind w:right="240" w:firstLine="341"/>
        <w:spacing w:after="0" w:line="322" w:lineRule="auto"/>
        <w:rPr>
          <w:sz w:val="20"/>
          <w:szCs w:val="20"/>
          <w:color w:val="auto"/>
        </w:rPr>
      </w:pPr>
      <w:r>
        <w:rPr>
          <w:rFonts w:ascii="Arial" w:cs="Arial" w:eastAsia="Arial" w:hAnsi="Arial"/>
          <w:sz w:val="15"/>
          <w:szCs w:val="15"/>
          <w:b w:val="1"/>
          <w:bCs w:val="1"/>
          <w:i w:val="1"/>
          <w:iCs w:val="1"/>
          <w:color w:val="auto"/>
        </w:rPr>
        <w:t xml:space="preserve">Renal Disease. </w:t>
      </w:r>
      <w:r>
        <w:rPr>
          <w:rFonts w:ascii="Arial" w:cs="Arial" w:eastAsia="Arial" w:hAnsi="Arial"/>
          <w:sz w:val="15"/>
          <w:szCs w:val="15"/>
          <w:color w:val="auto"/>
        </w:rPr>
        <w:t>Chronic kidney disease (CKD) is a prevalent medical condition with limited pharmacologic treatments. AbbVie's renal care pipeline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atrasentan, for the treatment of CKD. A Phase IIb study of atrasentan in patients with diabetic kidney disease is ongoing, with results to be presented in 2013. Atrasentan will potentially be the first compound specifically launched to treat diabetic nephropathy by targeting albuminuria and slowing the progression of CKD.</w:t>
      </w:r>
    </w:p>
    <w:p>
      <w:pPr>
        <w:spacing w:after="0" w:line="14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b w:val="1"/>
          <w:bCs w:val="1"/>
          <w:i w:val="1"/>
          <w:iCs w:val="1"/>
          <w:color w:val="auto"/>
        </w:rPr>
        <w:t xml:space="preserve">Neuroscience and Pain. </w:t>
      </w:r>
      <w:r>
        <w:rPr>
          <w:rFonts w:ascii="Arial" w:cs="Arial" w:eastAsia="Arial" w:hAnsi="Arial"/>
          <w:sz w:val="17"/>
          <w:szCs w:val="17"/>
          <w:color w:val="auto"/>
        </w:rPr>
        <w:t>AbbVie has clinical studies underway on multiple compounds that target receptors in the brain that help regulate, mood, memory,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neurological functions and conditions, including schizophrenia, pain, Alzheimer's disease, and multiple sclerosis (MS). These conditions affect millions of people worldwide and will affect more as the population continues to age. Alzheimer's disease is the most common type of dementia and causes problems with memory, thinking and behavior. MS is a chronic disease in which the body's own immune system attacks the nervous system and is the most common progressive and disabling neurological condition in young adults.</w:t>
      </w:r>
    </w:p>
    <w:p>
      <w:pPr>
        <w:spacing w:after="0" w:line="187"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i w:val="1"/>
          <w:iCs w:val="1"/>
          <w:color w:val="auto"/>
        </w:rPr>
        <w:t xml:space="preserve">Multiple Sclerosis. </w:t>
      </w:r>
      <w:r>
        <w:rPr>
          <w:rFonts w:ascii="Arial" w:cs="Arial" w:eastAsia="Arial" w:hAnsi="Arial"/>
          <w:sz w:val="17"/>
          <w:szCs w:val="17"/>
          <w:color w:val="auto"/>
        </w:rPr>
        <w:t>AbbVie is collaborating with Biogen Idec to develop daclizumab for the treatment of the relapsing remitting form of MS, which is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common form, and affects nearly 85 percent of newly diagnosed MS patients. Daclizumab, an anti-CD25 monoclonal antibody, is currently in Phase III development. Phase IIb clinical study results of daclizumab demonstrated an over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50 percent reduction in relapse rates as compared to a placebo in patients with MS and a 57 percent relative reduction in risk of disability progression at the dose being utilized in Phase III.</w:t>
      </w:r>
    </w:p>
    <w:p>
      <w:pPr>
        <w:spacing w:after="0" w:line="170"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i w:val="1"/>
          <w:iCs w:val="1"/>
          <w:color w:val="auto"/>
        </w:rPr>
        <w:t xml:space="preserve">Alzheimer's Disease and Schizophrenia. </w:t>
      </w:r>
      <w:r>
        <w:rPr>
          <w:rFonts w:ascii="Arial" w:cs="Arial" w:eastAsia="Arial" w:hAnsi="Arial"/>
          <w:sz w:val="17"/>
          <w:szCs w:val="17"/>
          <w:color w:val="auto"/>
        </w:rPr>
        <w:t>AbbVie is investigating ABT-126, an a7-NNR modulator, in additional Phase II studies in both Alzheimer's disease and</w:t>
      </w:r>
      <w:r>
        <w:rPr>
          <w:rFonts w:ascii="Arial" w:cs="Arial" w:eastAsia="Arial" w:hAnsi="Arial"/>
          <w:sz w:val="17"/>
          <w:szCs w:val="17"/>
          <w:i w:val="1"/>
          <w:iCs w:val="1"/>
          <w:color w:val="auto"/>
        </w:rPr>
        <w:t xml:space="preserve"> </w:t>
      </w:r>
      <w:r>
        <w:rPr>
          <w:rFonts w:ascii="Arial" w:cs="Arial" w:eastAsia="Arial" w:hAnsi="Arial"/>
          <w:sz w:val="17"/>
          <w:szCs w:val="17"/>
          <w:color w:val="auto"/>
        </w:rPr>
        <w:t>cognitive deficits of schizophrenia.</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i w:val="1"/>
          <w:iCs w:val="1"/>
          <w:color w:val="auto"/>
        </w:rPr>
        <w:t xml:space="preserve">Pain. </w:t>
      </w:r>
      <w:r>
        <w:rPr>
          <w:rFonts w:ascii="Arial" w:cs="Arial" w:eastAsia="Arial" w:hAnsi="Arial"/>
          <w:sz w:val="17"/>
          <w:szCs w:val="17"/>
          <w:color w:val="auto"/>
        </w:rPr>
        <w:t>AbbVie is also developing a number of non-opioid agents for relief across a broad spectrum of pain states including postoperative, cancer pain, back pain,</w:t>
      </w:r>
      <w:r>
        <w:rPr>
          <w:rFonts w:ascii="Arial" w:cs="Arial" w:eastAsia="Arial" w:hAnsi="Arial"/>
          <w:sz w:val="17"/>
          <w:szCs w:val="17"/>
          <w:i w:val="1"/>
          <w:iCs w:val="1"/>
          <w:color w:val="auto"/>
        </w:rPr>
        <w:t xml:space="preserve"> </w:t>
      </w:r>
      <w:r>
        <w:rPr>
          <w:rFonts w:ascii="Arial" w:cs="Arial" w:eastAsia="Arial" w:hAnsi="Arial"/>
          <w:sz w:val="17"/>
          <w:szCs w:val="17"/>
          <w:color w:val="auto"/>
        </w:rPr>
        <w:t>and osteoarthritis pain. Phase IIa clinical trials of ABT-110, an injectable biologic, are expected to begin in 2012.</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Oncology. </w:t>
      </w:r>
      <w:r>
        <w:rPr>
          <w:rFonts w:ascii="Arial" w:cs="Arial" w:eastAsia="Arial" w:hAnsi="Arial"/>
          <w:sz w:val="17"/>
          <w:szCs w:val="17"/>
          <w:color w:val="auto"/>
        </w:rPr>
        <w:t>AbbVie is investing in a number of cancer therapies that may change the way the disease behaves. AbbVie is focused on the development of targeted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that inhibit tumor growth and improve response to common cancer therapies. AbbVie's oncology pipeline includes:</w:t>
      </w:r>
    </w:p>
    <w:p>
      <w:pPr>
        <w:spacing w:after="0" w:line="183" w:lineRule="exact"/>
        <w:rPr>
          <w:sz w:val="20"/>
          <w:szCs w:val="20"/>
          <w:color w:val="auto"/>
        </w:rPr>
      </w:pPr>
    </w:p>
    <w:p>
      <w:pPr>
        <w:ind w:left="1060" w:right="180" w:hanging="531"/>
        <w:spacing w:after="0" w:line="282" w:lineRule="auto"/>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Elotuzumab, an anti-CD37 antibody for multiple myeloma. AbbVie is currently in Phase III development of elotuzumab for the treatment of multiple myeloma under a collaboration with Bristol Myers Squibb.</w:t>
      </w:r>
    </w:p>
    <w:p>
      <w:pPr>
        <w:spacing w:after="0" w:line="196" w:lineRule="exact"/>
        <w:rPr>
          <w:rFonts w:ascii="Arial" w:cs="Arial" w:eastAsia="Arial" w:hAnsi="Arial"/>
          <w:sz w:val="17"/>
          <w:szCs w:val="17"/>
          <w:color w:val="auto"/>
        </w:rPr>
      </w:pPr>
    </w:p>
    <w:p>
      <w:pPr>
        <w:ind w:left="1060" w:right="40" w:hanging="531"/>
        <w:spacing w:after="0" w:line="270" w:lineRule="auto"/>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Veliparib is a PARP-inhibitor. A Phase IIb study in BRCA-mutated breast cancer being treated with chemotherapy was initiated in 2011. Veliparib is also in Phase II evaluation for the treatment of a variety of other solid tumors, including brain metastases from non-small cell lung cancer being treated with radiation therapy and non-small cell lung cancer in combination with chemotherapy.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ABT-199, a next-generation Bcl-2 inhibitor in development for chronic lymphocytic leukemia is expected to start Phase III evaluation in 2013.</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AbbVie is also evaluating a number of other promising mechanisms, including work on EGFR and cMet.</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AbbVie is developing a novel gonadotropin-releasing hormone (GnRH) oral antagonist, elagolix, under a collaboration with Neurocrine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Biosciences for the treatment of endometriosis-related pain and uterine fibroids, both highly prevalent conditions associated with a number of health complications including pain and infertility. Approximately 17 million women in the United States and Europe suffer from endometriosis. Current treatment options involve full estrogen suppression, leading to side effects such as hot flashes and bone density changes. Uterine fibroids affect approximately 19 million women in the United States and Europe and currently, various surgical options are the treatment of choice, but there is no effective chronic therapy available. AbbVie and Neurocrine Biosciences have a Phase II elagolix trial for uterine fibroids and a Phase III trial in endometriosis currently underway.</w:t>
      </w:r>
    </w:p>
    <w:p>
      <w:pPr>
        <w:spacing w:after="0" w:line="176" w:lineRule="exact"/>
        <w:rPr>
          <w:sz w:val="20"/>
          <w:szCs w:val="20"/>
          <w:color w:val="auto"/>
        </w:rPr>
      </w:pPr>
    </w:p>
    <w:p>
      <w:pPr>
        <w:ind w:right="320" w:firstLine="341"/>
        <w:spacing w:after="0" w:line="352" w:lineRule="auto"/>
        <w:rPr>
          <w:sz w:val="20"/>
          <w:szCs w:val="20"/>
          <w:color w:val="auto"/>
        </w:rPr>
      </w:pPr>
      <w:r>
        <w:rPr>
          <w:rFonts w:ascii="Arial" w:cs="Arial" w:eastAsia="Arial" w:hAnsi="Arial"/>
          <w:sz w:val="15"/>
          <w:szCs w:val="15"/>
          <w:b w:val="1"/>
          <w:bCs w:val="1"/>
          <w:i w:val="1"/>
          <w:iCs w:val="1"/>
          <w:color w:val="auto"/>
        </w:rPr>
        <w:t xml:space="preserve">Immunology. </w:t>
      </w:r>
      <w:r>
        <w:rPr>
          <w:rFonts w:ascii="Arial" w:cs="Arial" w:eastAsia="Arial" w:hAnsi="Arial"/>
          <w:sz w:val="15"/>
          <w:szCs w:val="15"/>
          <w:color w:val="auto"/>
        </w:rPr>
        <w:t>AbbVie's scientific experience with HUMIRA serves as a strong foundation for its continuing research in immunology. AbbVie is developing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several additional indications for HUMIRA and has a number of next-generation programs underway to address immune-mediated conditions, including:</w:t>
      </w:r>
    </w:p>
    <w:p>
      <w:pPr>
        <w:spacing w:after="0" w:line="150" w:lineRule="exact"/>
        <w:rPr>
          <w:sz w:val="20"/>
          <w:szCs w:val="20"/>
          <w:color w:val="auto"/>
        </w:rPr>
      </w:pPr>
    </w:p>
    <w:p>
      <w:pPr>
        <w:ind w:left="1060" w:right="60" w:hanging="531"/>
        <w:spacing w:after="0" w:line="294" w:lineRule="auto"/>
        <w:tabs>
          <w:tab w:leader="none" w:pos="10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DVD-Ig technology, which represents an innovative approach that can target multiple disease-causing antigens with a single biologic agent. This proprietary technology could lead to next-generation biologic treatments for complex conditions such as cancer or rheumatoid arthritis, where multiple pathways are involved in the disease. In 2011, using DVD-Ig technology, AbbVie advanced two molecules into Phase I clinical trials.</w:t>
      </w:r>
    </w:p>
    <w:p>
      <w:pPr>
        <w:spacing w:after="0" w:line="175" w:lineRule="exact"/>
        <w:rPr>
          <w:rFonts w:ascii="Arial" w:cs="Arial" w:eastAsia="Arial" w:hAnsi="Arial"/>
          <w:sz w:val="16"/>
          <w:szCs w:val="16"/>
          <w:color w:val="auto"/>
        </w:rPr>
      </w:pPr>
    </w:p>
    <w:p>
      <w:pPr>
        <w:ind w:left="1060" w:right="300" w:hanging="531"/>
        <w:spacing w:after="0" w:line="282" w:lineRule="auto"/>
        <w:tabs>
          <w:tab w:leader="none" w:pos="10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AbbVie is collaborating with Biotest AG on an anti-CD4 biologic known as tregalizumab. The compound is currently in Phase IIa clinical trials for rheumatoid arthritis and psoriasis.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00" w:hanging="531"/>
        <w:spacing w:after="0" w:line="282" w:lineRule="auto"/>
        <w:tabs>
          <w:tab w:leader="none" w:pos="10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GLPG0634, a next-generation, oral JAK1 inhibitor, is being developed in collaboration with Galapagos NV. GLPG0634 is currently in Phase IIa development to treat rheumatoid arthritis and may be able to address other autoimmune diseases.</w:t>
      </w:r>
    </w:p>
    <w:p>
      <w:pPr>
        <w:spacing w:after="0" w:line="170" w:lineRule="exact"/>
        <w:rPr>
          <w:sz w:val="20"/>
          <w:szCs w:val="20"/>
          <w:color w:val="auto"/>
        </w:rPr>
      </w:pPr>
    </w:p>
    <w:p>
      <w:pPr>
        <w:ind w:right="560" w:firstLine="332"/>
        <w:spacing w:after="0" w:line="352" w:lineRule="auto"/>
        <w:rPr>
          <w:sz w:val="20"/>
          <w:szCs w:val="20"/>
          <w:color w:val="auto"/>
        </w:rPr>
      </w:pPr>
      <w:r>
        <w:rPr>
          <w:rFonts w:ascii="Arial" w:cs="Arial" w:eastAsia="Arial" w:hAnsi="Arial"/>
          <w:sz w:val="15"/>
          <w:szCs w:val="15"/>
          <w:color w:val="auto"/>
        </w:rPr>
        <w:t>AbbVie is also evaluating a number of other oral candidates including an SYK inhibitor. In addition, AbbVie plans to jointly develop and commercialize a portfolio of next-generation oral antioxidant inflammation modulators through a collaboration with Reata Pharmaceuticals announced in 2011.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Activities</w:t>
      </w:r>
    </w:p>
    <w:p>
      <w:pPr>
        <w:spacing w:after="0" w:line="228"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AbbVie has several compounds in development, including treatments for highly prevalent conditions and over the past five years has more than doubled the number of compounds in its pipeline. AbbVie's ability to develop new compounds is enhanced by the company's use of integrated discovery project teams, which include chemists, biologists, and pharmacologists who work on the same compounds as a team. For more information, see "Management's Discussion and Analysis of Financial Condition and Results of Operations—Research and Development Programs."</w:t>
      </w:r>
    </w:p>
    <w:p>
      <w:pPr>
        <w:spacing w:after="0" w:line="185" w:lineRule="exact"/>
        <w:rPr>
          <w:sz w:val="20"/>
          <w:szCs w:val="20"/>
          <w:color w:val="auto"/>
        </w:rPr>
      </w:pPr>
    </w:p>
    <w:p>
      <w:pPr>
        <w:ind w:right="20" w:firstLine="332"/>
        <w:spacing w:after="0" w:line="294" w:lineRule="auto"/>
        <w:rPr>
          <w:sz w:val="20"/>
          <w:szCs w:val="20"/>
          <w:color w:val="auto"/>
        </w:rPr>
      </w:pPr>
      <w:r>
        <w:rPr>
          <w:rFonts w:ascii="Arial" w:cs="Arial" w:eastAsia="Arial" w:hAnsi="Arial"/>
          <w:sz w:val="16"/>
          <w:szCs w:val="16"/>
          <w:color w:val="auto"/>
        </w:rPr>
        <w:t>AbbVie spent approximately $2.6 billion in 2011, $2.5 billion in 2010, and $1.7 billion in 2009 on research to discover and develop new products, indications and processes and to improve existing products and processes. These expenses consisted primarily of collaboration fees and expenses, salaries and related expenses for personnel, license fees, consulting payments, contract research, manufacturing, and the costs of laboratory equipment and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Protection and Regulatory Exclusivity</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Generally, upon approval, products in development may be entitled to exclusivity under applicable intellectual property and regulatory regimes.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length of the patent extension is roughly based on 50 percent of the period of time from the filing of an Investigational New Drug Application for a compound to the submission of the NDA for such compound, plus 100 percent of the time period from New Drug Application (NDA) submission to regulatory approval. The extension, however, cannot exceed five years and the patent term remaining after regulatory approval cannot exceed 14 years.</w:t>
      </w:r>
    </w:p>
    <w:p>
      <w:pPr>
        <w:spacing w:after="0" w:line="17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Pharmaceutical products may be entitled to other forms of legal or regulatory exclusivity upon approval. The scope, length, and requirements for each of these exclusivities varies both in the United States and in other jurisdictions. In the United States, if the FDA approves a chemical entity that it has not previously approved, the product is typically entitled to five years of market exclusivity. Products that do not contain a new chemical entity may be entitled to three years of market exclusivity if approval was based on the FDA's reliance on new clinical studies submitted by the NDA applicant. If the NDA applicant studies the product for use by children, the FDA may grant pediatric exclusivity, which extends by 180 days the longest existing exclusivity (patent or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approving regulatory agency determines the market exclusivity to which the product is entitled upon its approval. In certain instances, regulatory exclusivity may protect a product where patent protection is no longer available or for a period of time in excess of patent protection. It is not possible to estimate for each product in development the total period of exclusivity to which it may become entitled until regulatory approval is obtained. However, given the length of time required to complete clinical development of a pharmaceutical product, the minimum and maximum periods of exclusivity that might be achieved in any individual case would not be expected to exceed three and 14 years, respectively. These estimates do not consider other factors, such as the difficulty of recreating the manufacturing process for a particular product or other proprietary knowledge that may delay the introduction of a generic after the expiration of applicable patent and other regulatory exclusivity periods.</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Biologics such as HUMIRA are entitled to exclusivity under the Biologics Price Competition and Innovation Act, which was passed on March 23, 2010 as Title VII to the Patient Protection and Affordable Care Act. The law provides a pathway for approval of biosimilars following the expiration of 12 years of exclusivity for the innovator biologic and a potential additional 180 day-extension term for pediatric indications. The law also includes an extensive process for the innovator biologic and biosimilar manufacturer to litigate patent infringement, validity, and enforceability prior to the approval of the biosimilar. The European Union has also created a pathway for approval of biosimilars and has published guidelines for approval of certain biosimilar products. The more complex nature of biologics and biosimilar products has led to greater regulatory scrutiny and more rigorous requirements for approval of follow-on biosimilar products than for small-molecule generic pharmaceutical products, and it has also reduced the effect of biosimilars on sales of the innovator biologic as compared to the sales erosion caused by generic versions of small molecule pharmaceutical products.</w:t>
      </w:r>
    </w:p>
    <w:p>
      <w:pPr>
        <w:spacing w:after="0" w:line="187" w:lineRule="exact"/>
        <w:rPr>
          <w:sz w:val="20"/>
          <w:szCs w:val="20"/>
          <w:color w:val="auto"/>
        </w:rPr>
      </w:pPr>
    </w:p>
    <w:p>
      <w:pPr>
        <w:ind w:right="240" w:firstLine="332"/>
        <w:spacing w:after="0" w:line="294" w:lineRule="auto"/>
        <w:rPr>
          <w:sz w:val="20"/>
          <w:szCs w:val="20"/>
          <w:color w:val="auto"/>
        </w:rPr>
      </w:pPr>
      <w:r>
        <w:rPr>
          <w:rFonts w:ascii="Arial" w:cs="Arial" w:eastAsia="Arial" w:hAnsi="Arial"/>
          <w:sz w:val="16"/>
          <w:szCs w:val="16"/>
          <w:color w:val="auto"/>
        </w:rPr>
        <w:t>AbbVie owns or has licensed rights to a substantial number of patents and patent applications. Principal trademarks and the products they cover are discussed above in the description of AbbVie's products. AbbVie licenses or owns a patent portfolio of over 4,000 patent families, each of which includes United States patent applications and/or issued patents, and may also contain the non-United States counterparts to these patents and applications.</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These patents and applications, including various patents that expire during the period 2012 to 2031, in the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is expected to expire in December 2016, and the equivalent European Union patent is expected to expire in the majority of EU countries in April 2018.</w:t>
      </w:r>
    </w:p>
    <w:p>
      <w:pPr>
        <w:spacing w:after="0" w:line="187" w:lineRule="exact"/>
        <w:rPr>
          <w:sz w:val="20"/>
          <w:szCs w:val="20"/>
          <w:color w:val="auto"/>
        </w:rPr>
      </w:pPr>
    </w:p>
    <w:p>
      <w:pPr>
        <w:ind w:right="120" w:firstLine="341"/>
        <w:spacing w:after="0" w:line="260" w:lineRule="auto"/>
        <w:rPr>
          <w:sz w:val="20"/>
          <w:szCs w:val="20"/>
          <w:color w:val="auto"/>
        </w:rPr>
      </w:pPr>
      <w:r>
        <w:rPr>
          <w:rFonts w:ascii="Arial" w:cs="Arial" w:eastAsia="Arial" w:hAnsi="Arial"/>
          <w:sz w:val="17"/>
          <w:szCs w:val="17"/>
          <w:color w:val="auto"/>
        </w:rPr>
        <w:t>In addition, the following patents, licenses, and trademarks are significant: those related to lopinavir/ritonavir (which is sold under the trademarks Kaletra and Aluvia), those related to fenofibrate (which is sold under the trademarks TriCor and Trilipix), those related to niacin (which is sold under the trademarks Niaspan and Simcor), and those related to testosterone (which is sold under the trademark AndroGel). The United States composition of matter patent covering lopinavir is expected to expire in 2016. The principal United States non-composition of matter patent covering lopinavir/ritonavir is expected to expire in 2016. The principal United States non-composition of matter patents covering the fenofibrate products are expected to expire in 2018, 2020, 2023, and 2025. The principal United States non-composition of matter patents covering the niacin products are expected to expire in 2013, 2017, and 2018. The principal non-composition of matter patent covering AndroGel is expected to expire in 2020 for the 1.62 percent formulation and, due to pediatric exclusivity, in 2021 for the 1 percent formulation. Agreements that may affect exclusivity are discussed in the section titled "Management's Discussion and Analysis of Financial Condition and Results of Operations—Results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Distribution Capabilities</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2011, AbbVie's products were sold in over 170 countries. AbbVie utilizes a combination of dedicated commercial resources, regional commercial resources and distributorships to market, sell, and distribute its products worldwide.</w:t>
      </w:r>
    </w:p>
    <w:p>
      <w:pPr>
        <w:spacing w:after="0" w:line="17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the United States, AbbVie distributes pharmaceutical products principally through independent wholesale distributors, with some sales directly to pharmacies. In 2011, three wholesale distributors accounted for substantially all of AbbVie's sales in the United States. Sales to McKesson Corporation, Cardinal Health, Inc., and AmerisourceBergen Corporation accounted for 33 percent, 28 percent, and 24 percent, respectively, of AbbVie's 2011 gross sales in the United States. These wholesalers purchase product from AbbVie under standard terms and conditions of sale.</w:t>
      </w:r>
    </w:p>
    <w:p>
      <w:pPr>
        <w:spacing w:after="0" w:line="185"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all of the company's products must be sold pursuant to a prescription in the United States. Outside of the United States, AbbVie focuses its marketing efforts on key opinion leaders, payors, physicians, and country regulatory bodies. AbbVie also provides patient support programs closely related to its products.</w:t>
      </w:r>
    </w:p>
    <w:p>
      <w:pPr>
        <w:spacing w:after="0" w:line="18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Outside the United States, sales are made either directly to customers or through distributors, depending on the market served. Approximately 55-60 percent of sales outside the United States are made through wholesalers or distributors. No wholesaler or distributor outside the United States accounts for more than 3 percent of AbbVie's sales. Certain products are co-marketed or co-promoted with other companies. AbbVie has no single customer that, if the customer were lost, would have a material adverse effect on the company's business.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material portion of AbbVie's business is subject to renegotiation of profits or termination of contracts at the election of the government.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Capabilities and Operations</w:t>
      </w:r>
    </w:p>
    <w:p>
      <w:pPr>
        <w:spacing w:after="0" w:line="228"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is experienced in the manufacturing, process development, analytical development, quality assurance, and quality control of its products. AbbVie's manufacturing operations consist of bulk manufacturing, formulation, fill and finish, and distribution activities. While AbbVie produces some of its own products entirely in-house, the company also contracts with third parties with respect to certain of its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principal manufacturing plants are in the following locations: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United States</w:t>
            </w:r>
          </w:p>
        </w:tc>
        <w:tc>
          <w:tcPr>
            <w:tcW w:w="3740" w:type="dxa"/>
            <w:vAlign w:val="bottom"/>
          </w:tcPr>
          <w:p>
            <w:pPr>
              <w:spacing w:after="0"/>
              <w:rPr>
                <w:sz w:val="13"/>
                <w:szCs w:val="13"/>
                <w:color w:val="auto"/>
              </w:rPr>
            </w:pPr>
          </w:p>
        </w:tc>
        <w:tc>
          <w:tcPr>
            <w:tcW w:w="2140" w:type="dxa"/>
            <w:vAlign w:val="bottom"/>
          </w:tcPr>
          <w:p>
            <w:pPr>
              <w:ind w:left="360"/>
              <w:spacing w:after="0"/>
              <w:rPr>
                <w:sz w:val="20"/>
                <w:szCs w:val="20"/>
                <w:color w:val="auto"/>
              </w:rPr>
            </w:pPr>
            <w:r>
              <w:rPr>
                <w:rFonts w:ascii="Arial" w:cs="Arial" w:eastAsia="Arial" w:hAnsi="Arial"/>
                <w:sz w:val="13"/>
                <w:szCs w:val="13"/>
                <w:b w:val="1"/>
                <w:bCs w:val="1"/>
                <w:color w:val="auto"/>
              </w:rPr>
              <w:t>Outside the United States</w:t>
            </w:r>
          </w:p>
        </w:tc>
      </w:tr>
      <w:tr>
        <w:trPr>
          <w:trHeight w:val="194"/>
        </w:trPr>
        <w:tc>
          <w:tcPr>
            <w:tcW w:w="8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7"/>
              </w:rPr>
              <w:t>Abbott Park,</w:t>
            </w:r>
          </w:p>
        </w:tc>
        <w:tc>
          <w:tcPr>
            <w:tcW w:w="1260" w:type="dxa"/>
            <w:vAlign w:val="bottom"/>
          </w:tcPr>
          <w:p>
            <w:pPr>
              <w:ind w:left="80"/>
              <w:spacing w:after="0" w:line="194" w:lineRule="exact"/>
              <w:rPr>
                <w:sz w:val="20"/>
                <w:szCs w:val="20"/>
                <w:color w:val="auto"/>
              </w:rPr>
            </w:pPr>
            <w:r>
              <w:rPr>
                <w:rFonts w:ascii="Arial" w:cs="Arial" w:eastAsia="Arial" w:hAnsi="Arial"/>
                <w:sz w:val="17"/>
                <w:szCs w:val="17"/>
                <w:color w:val="auto"/>
              </w:rPr>
              <w:t>Illinois*</w:t>
            </w:r>
          </w:p>
        </w:tc>
        <w:tc>
          <w:tcPr>
            <w:tcW w:w="3740" w:type="dxa"/>
            <w:vAlign w:val="bottom"/>
          </w:tcPr>
          <w:p>
            <w:pPr>
              <w:spacing w:after="0"/>
              <w:rPr>
                <w:sz w:val="16"/>
                <w:szCs w:val="16"/>
                <w:color w:val="auto"/>
              </w:rPr>
            </w:pPr>
          </w:p>
        </w:tc>
        <w:tc>
          <w:tcPr>
            <w:tcW w:w="21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Campoverde di Aprilia, Italy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Barceloneta,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Cork, Ireland</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Jayuya,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Ludwigshafen, Germany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North Chicago, Illinois</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Sligo, Ireland</w:t>
            </w:r>
          </w:p>
        </w:tc>
      </w:tr>
      <w:tr>
        <w:trPr>
          <w:trHeight w:val="216"/>
        </w:trPr>
        <w:tc>
          <w:tcPr>
            <w:tcW w:w="2100" w:type="dxa"/>
            <w:vAlign w:val="bottom"/>
            <w:gridSpan w:val="2"/>
          </w:tcPr>
          <w:p>
            <w:pPr>
              <w:spacing w:after="0"/>
              <w:rPr>
                <w:sz w:val="20"/>
                <w:szCs w:val="20"/>
                <w:color w:val="auto"/>
              </w:rPr>
            </w:pPr>
            <w:r>
              <w:rPr>
                <w:rFonts w:ascii="Arial" w:cs="Arial" w:eastAsia="Arial" w:hAnsi="Arial"/>
                <w:sz w:val="17"/>
                <w:szCs w:val="17"/>
                <w:color w:val="auto"/>
              </w:rPr>
              <w:t>Worcester, Massachusetts</w:t>
            </w:r>
          </w:p>
        </w:tc>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07"/>
        </w:trPr>
        <w:tc>
          <w:tcPr>
            <w:tcW w:w="8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140" w:type="dxa"/>
            <w:vAlign w:val="bottom"/>
          </w:tcPr>
          <w:p>
            <w:pPr>
              <w:spacing w:after="0"/>
              <w:rPr>
                <w:sz w:val="9"/>
                <w:szCs w:val="9"/>
                <w:color w:val="auto"/>
              </w:rPr>
            </w:pPr>
          </w:p>
        </w:tc>
      </w:tr>
    </w:tbl>
    <w:p>
      <w:pPr>
        <w:spacing w:after="0" w:line="214" w:lineRule="exact"/>
        <w:rPr>
          <w:sz w:val="20"/>
          <w:szCs w:val="20"/>
          <w:color w:val="auto"/>
        </w:rPr>
      </w:pPr>
    </w:p>
    <w:p>
      <w:pPr>
        <w:ind w:left="2240" w:hanging="523"/>
        <w:spacing w:after="0"/>
        <w:tabs>
          <w:tab w:leader="none" w:pos="22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Leased property.</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In addition to the above, AbbVie has other manufacturing facilities in the United States and worldwide. AbbVie believes its facilities are suitable and provide adequate production capacity.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United States, including Puerto Rico, AbbVie owns one distribution center. AbbVie also has four United States research and development facilities located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Abbott Park, Illinois; North Chicago, Illinois; Redwood City, California; and Worcester, Massachusetts. Outside the United States, AbbVie's principal research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development facilities are located in Shanghai, China and Ludwigshafen, Germany.</w:t>
      </w:r>
    </w:p>
    <w:p>
      <w:pPr>
        <w:spacing w:after="0" w:line="21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Except as noted, the principal plants in the United States listed above are owned by AbbVie or subsidiaries of AbbVie. The remaining manufacturing plants and all other facilities are owned or leased by AbbVie or subsidiaries of AbbVie.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Third Party Agreements</w:t>
      </w:r>
    </w:p>
    <w:p>
      <w:pPr>
        <w:spacing w:after="0" w:line="224"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AbbVie has agreements with third parties for process development, analytical services, and manufacturing of certain products. AbbVie procures certain products and services from a limited number of suppliers and, in some cases, a single supply source. For example, the filling and packaging of HUMIRA syringes to be sold outside of the United States and Puerto Rico is performed by a single supplier at its two different facilities. AbbVie does not currently believe that this agreement is material because AbbVie's business is not substantially dependent upon it. AbbVie maintains significant inventory of HUMIRA syringes to reduce the risk of any supply disruption and is in the process of obtaining regulatory approvals for its own syringe-filling and packaging facility in the United States to supply syringes outside of the United States and Puerto Rico. This facility is already approved to provide product to the United States and Puerto Rico. In addition, AbbVie has agreements with third parties for active pharmaceutical ingredient and product manufacturing, formulation and development services, fill, finish, and packaging services, and distribution and logistics services for certain products. AbbVie does not believe that these manufacturing-related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181"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AbbVie also has collaboration agreements, as discussed in the "—Advancing Pharmaceutical Pipeline" section, and will have certain agreements with Abbott following the separation, as described in "Certain Relationships and Related Person Transactions."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Sources and Availability of Raw Materials</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purchases, in the ordinary course of business, raw materials and supplies essential to its operations from numerous suppliers around the world, including in the United States. There have been no recent significant availability problems or supply shortages.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Orders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Orders are generally filled on a current basis, and order backlog is not material to AbbVie's business.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and operating expenditures for pollution control in 2011 were approximately $4.6 and $16.2 million, respectively. Capital and operating expenditures for pollution control in 2012 are estimated to be approximately $3.4 and $17.0 million, respectively.</w:t>
      </w:r>
    </w:p>
    <w:p>
      <w:pPr>
        <w:spacing w:after="0" w:line="185" w:lineRule="exact"/>
        <w:rPr>
          <w:sz w:val="20"/>
          <w:szCs w:val="20"/>
          <w:color w:val="auto"/>
        </w:rPr>
      </w:pPr>
    </w:p>
    <w:p>
      <w:pPr>
        <w:ind w:right="80" w:firstLine="332"/>
        <w:spacing w:after="0" w:line="301" w:lineRule="auto"/>
        <w:rPr>
          <w:sz w:val="20"/>
          <w:szCs w:val="20"/>
          <w:color w:val="auto"/>
        </w:rPr>
      </w:pPr>
      <w:r>
        <w:rPr>
          <w:rFonts w:ascii="Arial" w:cs="Arial" w:eastAsia="Arial" w:hAnsi="Arial"/>
          <w:sz w:val="15"/>
          <w:szCs w:val="15"/>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may be transferred to AbbVie in connection with the separation and distribution, and AbbVie may become a party to these investigations and remediations. Abbott is also engaged in remediation at several other sites, some of which may be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b w:val="1"/>
          <w:bCs w:val="1"/>
          <w:i w:val="1"/>
          <w:iCs w:val="1"/>
          <w:color w:val="auto"/>
        </w:rPr>
        <w:t xml:space="preserve">Biosimilars. </w:t>
      </w:r>
      <w:r>
        <w:rPr>
          <w:rFonts w:ascii="Arial" w:cs="Arial" w:eastAsia="Arial" w:hAnsi="Arial"/>
          <w:sz w:val="17"/>
          <w:szCs w:val="17"/>
          <w:color w:val="auto"/>
        </w:rPr>
        <w:t>Competition for AbbVie's biologic products is affected by the approval of follow-on biologics, also known as "biosimilars." Biologics have added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therapeutic options for the treatment of many diseases, including some for which therapies were unavailable or inadequate. The advent of biologics has also raised complex regulatory issues and significant pharmacoeconomic concerns because the cost of developing and producing biologic therapies is typically dramatically higher than for conventional (small molecule) medications, and because many expensive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 as are significant investments in marketing, distribution, and sales organization activities, which may limit the number of biosimilar competitors.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In the United States, the FDA regulates biologics under the Federal Food, Drug, and Cosmetic Act, the Public Health Service Act, and implementing regulations. While the enactment of federal health care reform legislation in March 2010 was meant to provide a pathway for approval of biosimilars under the Public Health Service Act, recent regulatory guidance suggests that the approval process will be far more extensive than for small molecules, in order to ensure that the safety and efficacy of the biosimilars is equivalent to that of original biologics, such as HUMIRA. Ultimate approval by the FDA is dependent upon many factors, including a showing that the biosimilar is "highly similar" to the original product and has no clinically meaningful differences from the original product in terms of safety, purity, and potency. The types of data that would ordinarily be required in an application to show similarity would include analytical data and studies to demonstrate chemical similarity, animal studies (including toxicity studies), and clinical studies. Applicable regulations also require that the biosimilar must be for the same indication as the original biologic and involve the same mechanism of action, and that the manufacturing facility meets the standards necessary to assure that the biosimilar is safe, pure, and potent.</w:t>
      </w:r>
    </w:p>
    <w:p>
      <w:pPr>
        <w:spacing w:after="0" w:line="192"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Furthermore, the new law provides that only a biosimilar product that is deemed to be "interchangeable" may be substituted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new law is only beginning to be interpreted and implemented by the FDA. As a result, its ultimate impact, implementation, and meaning will likely be subject to substantial uncertainty for years to come.</w:t>
      </w:r>
    </w:p>
    <w:p>
      <w:pPr>
        <w:spacing w:after="0" w:line="19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the European Union, while a pathway for the approval of biosimilars has existed since 2005, the products that have come to market to date have had a mixed impact on the market share of incumbent products, with significant variation by product.</w:t>
      </w:r>
    </w:p>
    <w:p>
      <w:pPr>
        <w:spacing w:after="0" w:line="170" w:lineRule="exact"/>
        <w:rPr>
          <w:sz w:val="20"/>
          <w:szCs w:val="20"/>
          <w:color w:val="auto"/>
        </w:rPr>
      </w:pPr>
    </w:p>
    <w:p>
      <w:pPr>
        <w:ind w:right="220" w:firstLine="341"/>
        <w:spacing w:after="0" w:line="287" w:lineRule="auto"/>
        <w:rPr>
          <w:sz w:val="20"/>
          <w:szCs w:val="20"/>
          <w:color w:val="auto"/>
        </w:rPr>
      </w:pPr>
      <w:r>
        <w:rPr>
          <w:rFonts w:ascii="Arial" w:cs="Arial" w:eastAsia="Arial" w:hAnsi="Arial"/>
          <w:sz w:val="16"/>
          <w:szCs w:val="16"/>
          <w:b w:val="1"/>
          <w:bCs w:val="1"/>
          <w:i w:val="1"/>
          <w:iCs w:val="1"/>
          <w:color w:val="auto"/>
        </w:rPr>
        <w:t xml:space="preserve">Other Competitive Products. </w:t>
      </w:r>
      <w:r>
        <w:rPr>
          <w:rFonts w:ascii="Arial" w:cs="Arial" w:eastAsia="Arial" w:hAnsi="Arial"/>
          <w:sz w:val="16"/>
          <w:szCs w:val="16"/>
          <w:color w:val="auto"/>
        </w:rPr>
        <w:t>Although a number of competitive biologic branded products have been approved since HUMIRA was first introduced in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have gained only a modest share of the worldwide market. In addition, JAK inhibitors, a potential new class of orally administered products, remain pending before the FDA for approval, and the efficacy and safety of such products and their labeled indications have yet to be accepted and established by the FDA. AbbVie will continue to face competitive pressure from these biologics and, when approved, certain orally administered JAK inhibitors.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Regulation—Discovery and Clinical Development</w:t>
      </w:r>
    </w:p>
    <w:p>
      <w:pPr>
        <w:spacing w:after="0" w:line="228"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b w:val="1"/>
          <w:bCs w:val="1"/>
          <w:i w:val="1"/>
          <w:iCs w:val="1"/>
          <w:color w:val="auto"/>
        </w:rPr>
        <w:t xml:space="preserve">United States. </w:t>
      </w:r>
      <w:r>
        <w:rPr>
          <w:rFonts w:ascii="Arial" w:cs="Arial" w:eastAsia="Arial" w:hAnsi="Arial"/>
          <w:sz w:val="16"/>
          <w:szCs w:val="16"/>
          <w:color w:val="auto"/>
        </w:rPr>
        <w:t>Securing approval to market a new pharmaceutical product in the United States requires substantial effort and financial resources and takes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years to complete. The applicant must complete preclinical tests, and obtain FDA approval before commencing clinical trials. Clinical trials are intended to establish the safety and efficacy of the pharmaceutical product and typically are conducted in three sequential phases, although the phases may overlap or be combined. Additional details on clinical trial phases can be found in the section titled "Management's Discussion and Analysis of Financial Condition and Results of Operations—Research and Development Programs." If the required clinical testing is successful, the results are submitted to the FDA in the form of an NDA or Biologic Listing Application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labeling. Also, quality control and manufacturing procedures must continue to conform to cGMP after approval. The FDA periodically inspects manufacturing facilities to assess compliance with cGMP, which imposes extensive procedural, substantive, and record keeping requirements. In addition, as a condition of approval, the FDA may require post-marketing testing and surveillance to further assess and monitor the product's safety or efficacy after commercialization. Any post-approval regulatory obligations, and the cost of complying with such obligations, could expand in the future.</w:t>
      </w:r>
    </w:p>
    <w:p>
      <w:pPr>
        <w:spacing w:after="0" w:line="18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i w:val="1"/>
          <w:iCs w:val="1"/>
          <w:color w:val="auto"/>
        </w:rPr>
        <w:t xml:space="preserve">Outside the United States. </w:t>
      </w:r>
      <w:r>
        <w:rPr>
          <w:rFonts w:ascii="Arial" w:cs="Arial" w:eastAsia="Arial" w:hAnsi="Arial"/>
          <w:sz w:val="15"/>
          <w:szCs w:val="15"/>
          <w:color w:val="auto"/>
        </w:rPr>
        <w:t>AbbVie is subject to similar regulations outside the United States. AbbVie must obtain approval of a clinical trial application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from the applicable regulatory authorities before it can commence clinical trials or marketing of the product. The approval requirements and process vary, and the time required to obtain approval may be longer or shorter than that required for FDA approval.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national approval decisions and is available for products that are not subject to the centralized procedure.</w:t>
      </w:r>
    </w:p>
    <w:p>
      <w:pPr>
        <w:spacing w:after="0" w:line="163"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Japan, applications for approval of a new product are made through the Pharmaceutical and Medical Devices Agency (PMDA). Bridging studies to demonstrate that the foreign clinical data applies to Japanese patients may be required. After completing a comprehensive review, the PMDA reports to the Ministry of Health, Labour and Welfare, which then approves or denies the application.</w:t>
      </w:r>
    </w:p>
    <w:p>
      <w:pPr>
        <w:spacing w:after="0" w:line="179"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regulatory process in many emerging markets continues to evolve. Many emerging markets, including those in Asia, generally require regulatory approval to have been obtained in a large developed market (such as the United States) before the country will begin or complete its regulatory review process. Some countries also require that local clinical studies be conducted in order to obtain regulatory approval in the country.</w:t>
      </w:r>
    </w:p>
    <w:p>
      <w:pPr>
        <w:spacing w:after="0" w:line="179"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The requirements governing the conduct of clinical trials and product licensing also vary. In addition, post-approval regulatory obligations such as adverse event reporting and cGMP generally apply and may vary by country. For example, after a marketing authorization has been granted in the EU, periodic safety reports must be submitted and other pharmacovigilance measures must be implemented.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Commercialization, Distribution, and Manufacturing</w:t>
      </w:r>
    </w:p>
    <w:p>
      <w:pPr>
        <w:spacing w:after="0" w:line="228"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development,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establishment, and other fees. Governmental agencies can also invalidate or restrict intellectual property rights and control the entrance of multi-source drugs for small molecule and follow-on biologics.</w:t>
      </w:r>
    </w:p>
    <w:p>
      <w:pPr>
        <w:spacing w:after="0" w:line="169"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87"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the United States and other countries. A major focus is cost containment. Efforts to reduce health care costs are also being made in the private sector, notably by health care payors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Budgetary pressures in the United States and in other countries may also heighten the scope and severity of pricing pressures on AbbVie's products for the foreseeable future.</w:t>
      </w:r>
    </w:p>
    <w:p>
      <w:pPr>
        <w:spacing w:after="0" w:line="176"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b w:val="1"/>
          <w:bCs w:val="1"/>
          <w:i w:val="1"/>
          <w:iCs w:val="1"/>
          <w:color w:val="auto"/>
        </w:rPr>
        <w:t xml:space="preserve">United States. </w:t>
      </w:r>
      <w:r>
        <w:rPr>
          <w:rFonts w:ascii="Arial" w:cs="Arial" w:eastAsia="Arial" w:hAnsi="Arial"/>
          <w:sz w:val="17"/>
          <w:szCs w:val="17"/>
          <w:color w:val="auto"/>
        </w:rPr>
        <w:t>Specifically, U.S. federal laws requiring pharmaceuticals manufacturers to pay certain statutorily-prescribed rebates to state Medicaid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prescription drugs reimbursed under state Medicaid plans,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Department of Veterans Affairs, Department of Defense, and Public Health Service entities and institutions. In addition, recent legislative changes would require similarly discounted prices to be offered to TRICARE program beneficiaries. The Act also established the 340B drug discount program, which requires pharmaceuticals manufacturers to provide products at reduced prices to various designated health care entities and facilities.</w:t>
      </w:r>
    </w:p>
    <w:p>
      <w:pPr>
        <w:spacing w:after="0" w:line="190"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auto"/>
        </w:rPr>
        <w:t>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(ASP) plus a certain percentage to account for physician administration costs, which have recently been reduced in the hospital outpatient setting. End stage renal disease treatment is covered through a bundled payment that likewise creates incentives for providers to demand lower pharmaceutical prices. Medicare enters into contracts with private plans to negotiate prices for most patient-administered medicine delivered under Part D.</w:t>
      </w:r>
    </w:p>
    <w:p>
      <w:pPr>
        <w:spacing w:after="0" w:line="159"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In March 2010, Congress enacted the Patient Protection and Affordable Care Act and the Health Care and Education Reconciliation Act (together, the Affordable Care Act). Under the Affordable Care Act, AbbVie pays a fee related to its pharmaceuticals sales to government programs. Also in 2011, AbbVie began providing a discount of 50 percent for branded prescription drugs sold to patients who fall into the Medicare Part D coverage gap, or "donut hole."</w:t>
      </w:r>
    </w:p>
    <w:p>
      <w:pPr>
        <w:spacing w:after="0" w:line="163" w:lineRule="exact"/>
        <w:rPr>
          <w:sz w:val="20"/>
          <w:szCs w:val="20"/>
          <w:color w:val="auto"/>
        </w:rPr>
      </w:pPr>
    </w:p>
    <w:p>
      <w:pPr>
        <w:ind w:right="180" w:firstLine="338"/>
        <w:spacing w:after="0" w:line="283" w:lineRule="auto"/>
        <w:rPr>
          <w:sz w:val="20"/>
          <w:szCs w:val="20"/>
          <w:color w:val="auto"/>
        </w:rPr>
      </w:pPr>
      <w:r>
        <w:rPr>
          <w:rFonts w:ascii="Arial" w:cs="Arial" w:eastAsia="Arial" w:hAnsi="Arial"/>
          <w:sz w:val="16"/>
          <w:szCs w:val="16"/>
          <w:color w:val="auto"/>
        </w:rPr>
        <w:t>The Affordable Care Act also includes provisions known as the Physician Payments Sunshine Act, which require manufacturers of drugs and biologics covered under Medicare and Medicaid starting in 2012 to record any transfers of value to physicians and teaching hospitals and to report this data beginning in 2013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74"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AbbVie expects debate to continue during 2012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87"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Following the separation, AbbVie will be subject to a Corporate Integrity Agreement (CIA) entered into by Abbott on May 7, 2012 that requires enhancements to certain compliance procedures and contains reporting obligations including disclosure of financial payments to doctors. If AbbVie fails to comply with the CIA, the Office of Inspector General for the U.S. Department of Health and Human Services may impose monetary penalties or exclude AbbVie from federal health care programs, including Medicare and Medicaid.</w:t>
      </w:r>
    </w:p>
    <w:p>
      <w:pPr>
        <w:spacing w:after="0" w:line="185"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b w:val="1"/>
          <w:bCs w:val="1"/>
          <w:i w:val="1"/>
          <w:iCs w:val="1"/>
          <w:color w:val="auto"/>
        </w:rPr>
        <w:t xml:space="preserve">European Union. </w:t>
      </w:r>
      <w:r>
        <w:rPr>
          <w:rFonts w:ascii="Arial" w:cs="Arial" w:eastAsia="Arial" w:hAnsi="Arial"/>
          <w:sz w:val="16"/>
          <w:szCs w:val="16"/>
          <w:color w:val="auto"/>
        </w:rPr>
        <w:t>The EU has adopted directives and other legislation governing labeling, advertising, distribution, supply, pharmacovigilance,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pharmaceutical products. Such legislation provides mandatory standards throughout the EU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 that can lead to significant parallel trade in pharmaceutical products.</w:t>
      </w:r>
    </w:p>
    <w:p>
      <w:pPr>
        <w:spacing w:after="0" w:line="175"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Most governments also promote generic substitution by mandating or permitting a pharmacist to substitute a different manufacturer's generic version of a pharmaceutical product for the one prescribed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and by permitting or mandating that health care professionals prescribe generic versions in certain circumstances. In addition, governments use reimbursement lists to limit the pharmaceutical products that are eligible for reimbursement by national health care systems.</w:t>
      </w:r>
    </w:p>
    <w:p>
      <w:pPr>
        <w:spacing w:after="0" w:line="170"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b w:val="1"/>
          <w:bCs w:val="1"/>
          <w:i w:val="1"/>
          <w:iCs w:val="1"/>
          <w:color w:val="auto"/>
        </w:rPr>
        <w:t xml:space="preserve">Japan. </w:t>
      </w:r>
      <w:r>
        <w:rPr>
          <w:rFonts w:ascii="Arial" w:cs="Arial" w:eastAsia="Arial" w:hAnsi="Arial"/>
          <w:sz w:val="15"/>
          <w:szCs w:val="15"/>
          <w:color w:val="auto"/>
        </w:rPr>
        <w:t>In Japan, the National Health Insurance system maintains a Drug Price List specifying which pharmaceutical products are eligible for reimbursement,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55"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Emerging Markets. </w:t>
      </w:r>
      <w:r>
        <w:rPr>
          <w:rFonts w:ascii="Arial" w:cs="Arial" w:eastAsia="Arial" w:hAnsi="Arial"/>
          <w:sz w:val="17"/>
          <w:szCs w:val="17"/>
          <w:color w:val="auto"/>
        </w:rPr>
        <w:t>Many emerging markets take steps to reduce pharmaceutical product prices, in some cases through direct price controls and in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promotion of generic alternatives to branded pharmaceuticals.</w:t>
      </w:r>
    </w:p>
    <w:p>
      <w:pPr>
        <w:spacing w:after="0" w:line="170"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to employ approximately 30,000 persons as of the distribution date. Outside the United States, some of AbbVie's employees are represented by unions or works councils. AbbVie believes that it has good relations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right="240" w:firstLine="332"/>
        <w:spacing w:after="0" w:line="322" w:lineRule="auto"/>
        <w:rPr>
          <w:sz w:val="20"/>
          <w:szCs w:val="20"/>
          <w:color w:val="auto"/>
        </w:rPr>
      </w:pPr>
      <w:r>
        <w:rPr>
          <w:rFonts w:ascii="Arial" w:cs="Arial" w:eastAsia="Arial" w:hAnsi="Arial"/>
          <w:sz w:val="15"/>
          <w:szCs w:val="15"/>
          <w:color w:val="auto"/>
        </w:rPr>
        <w:t>AbbVie is involved in various claims, legal proceedings and investigations, including (as of September 30, 2012, except where noted below) those described below. While it is not feasible to predict the outcome of such pending claims, proceedings and investigations with certainty, management is of the opinion that their ultimate resolution should not have a material adverse effect on AbbVie's financial position, cash flows, or results of operations, except where noted below.</w:t>
      </w:r>
    </w:p>
    <w:p>
      <w:pPr>
        <w:spacing w:after="0" w:line="145"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Several cases, brought as purported class actions or representative actions on behalf of individuals or entities, are pending against Abbott that allege generally that Abbott and numerous other pharmaceuticals companies reported false pricing information in connection with certain drugs that are reimbursable under Medicare and Medicaid and by private payors. These cases, brought by private plaintiffs, state Attorneys General, and other state government entities, generally seek monetary damages and/or injunctive relief and attorneys' fees. The federal court cases were consolidated for pre-trial purposes in the United States District Court for the District of Massachusetts under the Multi District Litigation Rules as </w:t>
      </w:r>
      <w:r>
        <w:rPr>
          <w:rFonts w:ascii="Arial" w:cs="Arial" w:eastAsia="Arial" w:hAnsi="Arial"/>
          <w:sz w:val="16"/>
          <w:szCs w:val="16"/>
          <w:i w:val="1"/>
          <w:iCs w:val="1"/>
          <w:color w:val="auto"/>
        </w:rPr>
        <w:t>In re: Pharmaceutical Industry Average Wholesale Price Litigation, MDL 1456</w:t>
      </w:r>
      <w:r>
        <w:rPr>
          <w:rFonts w:ascii="Arial" w:cs="Arial" w:eastAsia="Arial" w:hAnsi="Arial"/>
          <w:sz w:val="16"/>
          <w:szCs w:val="16"/>
          <w:color w:val="auto"/>
        </w:rPr>
        <w:t xml:space="preserve">, which now includes only one state Attorney General suit filed in August 2006 on behalf of the State of South Carolina. In addition, several cases are pending against Abbott in state courts: </w:t>
      </w:r>
      <w:r>
        <w:rPr>
          <w:rFonts w:ascii="Arial" w:cs="Arial" w:eastAsia="Arial" w:hAnsi="Arial"/>
          <w:sz w:val="16"/>
          <w:szCs w:val="16"/>
          <w:i w:val="1"/>
          <w:iCs w:val="1"/>
          <w:color w:val="auto"/>
        </w:rPr>
        <w:t>Commonwealth of Kentucky</w:t>
      </w:r>
      <w:r>
        <w:rPr>
          <w:rFonts w:ascii="Arial" w:cs="Arial" w:eastAsia="Arial" w:hAnsi="Arial"/>
          <w:sz w:val="16"/>
          <w:szCs w:val="16"/>
          <w:color w:val="auto"/>
        </w:rPr>
        <w:t>, filed in September 2003 in the Circuit Court of Franklin County, Kentucky;</w:t>
      </w:r>
      <w:r>
        <w:rPr>
          <w:rFonts w:ascii="Arial" w:cs="Arial" w:eastAsia="Arial" w:hAnsi="Arial"/>
          <w:sz w:val="16"/>
          <w:szCs w:val="16"/>
          <w:i w:val="1"/>
          <w:iCs w:val="1"/>
          <w:color w:val="auto"/>
        </w:rPr>
        <w:t xml:space="preserve"> State of Wisconsin</w:t>
      </w:r>
      <w:r>
        <w:rPr>
          <w:rFonts w:ascii="Arial" w:cs="Arial" w:eastAsia="Arial" w:hAnsi="Arial"/>
          <w:sz w:val="16"/>
          <w:szCs w:val="16"/>
          <w:color w:val="auto"/>
        </w:rPr>
        <w:t>, filed in June 2004 in the Circuit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Dane County, Wisconsin; </w:t>
      </w:r>
      <w:r>
        <w:rPr>
          <w:rFonts w:ascii="Arial" w:cs="Arial" w:eastAsia="Arial" w:hAnsi="Arial"/>
          <w:sz w:val="16"/>
          <w:szCs w:val="16"/>
          <w:i w:val="1"/>
          <w:iCs w:val="1"/>
          <w:color w:val="auto"/>
        </w:rPr>
        <w:t>State of Illinois</w:t>
      </w:r>
      <w:r>
        <w:rPr>
          <w:rFonts w:ascii="Arial" w:cs="Arial" w:eastAsia="Arial" w:hAnsi="Arial"/>
          <w:sz w:val="16"/>
          <w:szCs w:val="16"/>
          <w:color w:val="auto"/>
        </w:rPr>
        <w:t xml:space="preserve">, filed in February 2005 in the Circuit Court of Cook County, Illinois; </w:t>
      </w:r>
      <w:r>
        <w:rPr>
          <w:rFonts w:ascii="Arial" w:cs="Arial" w:eastAsia="Arial" w:hAnsi="Arial"/>
          <w:sz w:val="16"/>
          <w:szCs w:val="16"/>
          <w:i w:val="1"/>
          <w:iCs w:val="1"/>
          <w:color w:val="auto"/>
        </w:rPr>
        <w:t>State of South Carolina</w:t>
      </w:r>
      <w:r>
        <w:rPr>
          <w:rFonts w:ascii="Arial" w:cs="Arial" w:eastAsia="Arial" w:hAnsi="Arial"/>
          <w:sz w:val="16"/>
          <w:szCs w:val="16"/>
          <w:color w:val="auto"/>
        </w:rPr>
        <w:t xml:space="preserve"> (on behalf of its state health plan), filed in August 2006 in the Court of Common Pleas, Fifth Judicial Circuit of Richland County, South Carolina; </w:t>
      </w:r>
      <w:r>
        <w:rPr>
          <w:rFonts w:ascii="Arial" w:cs="Arial" w:eastAsia="Arial" w:hAnsi="Arial"/>
          <w:sz w:val="16"/>
          <w:szCs w:val="16"/>
          <w:i w:val="1"/>
          <w:iCs w:val="1"/>
          <w:color w:val="auto"/>
        </w:rPr>
        <w:t>State of Alaska</w:t>
      </w:r>
      <w:r>
        <w:rPr>
          <w:rFonts w:ascii="Arial" w:cs="Arial" w:eastAsia="Arial" w:hAnsi="Arial"/>
          <w:sz w:val="16"/>
          <w:szCs w:val="16"/>
          <w:color w:val="auto"/>
        </w:rPr>
        <w:t xml:space="preserve">, filed in October 2006 in the Superior Court for the Third Judicial District in Anchorage, Alaska; </w:t>
      </w:r>
      <w:r>
        <w:rPr>
          <w:rFonts w:ascii="Arial" w:cs="Arial" w:eastAsia="Arial" w:hAnsi="Arial"/>
          <w:sz w:val="16"/>
          <w:szCs w:val="16"/>
          <w:i w:val="1"/>
          <w:iCs w:val="1"/>
          <w:color w:val="auto"/>
        </w:rPr>
        <w:t>State of Idaho</w:t>
      </w:r>
      <w:r>
        <w:rPr>
          <w:rFonts w:ascii="Arial" w:cs="Arial" w:eastAsia="Arial" w:hAnsi="Arial"/>
          <w:sz w:val="16"/>
          <w:szCs w:val="16"/>
          <w:color w:val="auto"/>
        </w:rPr>
        <w:t xml:space="preserve">, filed in January 2007 in the District Court of the Fourth Judicial District in Ada County, Idaho; </w:t>
      </w:r>
      <w:r>
        <w:rPr>
          <w:rFonts w:ascii="Arial" w:cs="Arial" w:eastAsia="Arial" w:hAnsi="Arial"/>
          <w:sz w:val="16"/>
          <w:szCs w:val="16"/>
          <w:i w:val="1"/>
          <w:iCs w:val="1"/>
          <w:color w:val="auto"/>
        </w:rPr>
        <w:t>State of Utah</w:t>
      </w:r>
      <w:r>
        <w:rPr>
          <w:rFonts w:ascii="Arial" w:cs="Arial" w:eastAsia="Arial" w:hAnsi="Arial"/>
          <w:sz w:val="16"/>
          <w:szCs w:val="16"/>
          <w:color w:val="auto"/>
        </w:rPr>
        <w:t>, filed in November 2007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Third Judicial District in Salt Lake County, Utah; </w:t>
      </w:r>
      <w:r>
        <w:rPr>
          <w:rFonts w:ascii="Arial" w:cs="Arial" w:eastAsia="Arial" w:hAnsi="Arial"/>
          <w:sz w:val="16"/>
          <w:szCs w:val="16"/>
          <w:i w:val="1"/>
          <w:iCs w:val="1"/>
          <w:color w:val="auto"/>
        </w:rPr>
        <w:t>State of Louisiana</w:t>
      </w:r>
      <w:r>
        <w:rPr>
          <w:rFonts w:ascii="Arial" w:cs="Arial" w:eastAsia="Arial" w:hAnsi="Arial"/>
          <w:sz w:val="16"/>
          <w:szCs w:val="16"/>
          <w:color w:val="auto"/>
        </w:rPr>
        <w:t>, filed in October 2010 in the Nineteenth Judicial District, Parish of Baton Rouge, Louisiana.</w:t>
      </w:r>
    </w:p>
    <w:p>
      <w:pPr>
        <w:spacing w:after="0" w:line="236" w:lineRule="exact"/>
        <w:rPr>
          <w:sz w:val="20"/>
          <w:szCs w:val="20"/>
          <w:color w:val="auto"/>
        </w:rPr>
      </w:pPr>
    </w:p>
    <w:p>
      <w:pPr>
        <w:ind w:firstLine="341"/>
        <w:spacing w:after="0" w:line="295" w:lineRule="auto"/>
        <w:rPr>
          <w:sz w:val="20"/>
          <w:szCs w:val="20"/>
          <w:color w:val="auto"/>
        </w:rPr>
      </w:pPr>
      <w:r>
        <w:rPr>
          <w:rFonts w:ascii="Arial" w:cs="Arial" w:eastAsia="Arial" w:hAnsi="Arial"/>
          <w:sz w:val="15"/>
          <w:szCs w:val="15"/>
          <w:color w:val="auto"/>
        </w:rPr>
        <w:t xml:space="preserve">Several pending lawsuits filed against Unimed Pharmaceuticals, Inc., Solvay Pharmaceuticals, Inc. (a company Abbott acquired in February 2010) et al. were consolidated for pre-trial purposes in the United States District Court for the Northern District of Georgia under the Multi District Litigation Rules as </w:t>
      </w:r>
      <w:r>
        <w:rPr>
          <w:rFonts w:ascii="Arial" w:cs="Arial" w:eastAsia="Arial" w:hAnsi="Arial"/>
          <w:sz w:val="15"/>
          <w:szCs w:val="15"/>
          <w:i w:val="1"/>
          <w:iCs w:val="1"/>
          <w:color w:val="auto"/>
        </w:rPr>
        <w:t>In re AndroGel</w:t>
      </w:r>
      <w:r>
        <w:rPr>
          <w:rFonts w:ascii="Arial" w:cs="Arial" w:eastAsia="Arial" w:hAnsi="Arial"/>
          <w:sz w:val="15"/>
          <w:szCs w:val="15"/>
          <w:color w:val="auto"/>
        </w:rPr>
        <w:t xml:space="preserve"> </w:t>
      </w:r>
      <w:r>
        <w:rPr>
          <w:rFonts w:ascii="Arial" w:cs="Arial" w:eastAsia="Arial" w:hAnsi="Arial"/>
          <w:sz w:val="15"/>
          <w:szCs w:val="15"/>
          <w:i w:val="1"/>
          <w:iCs w:val="1"/>
          <w:color w:val="auto"/>
        </w:rPr>
        <w:t>Antitrust Litigation</w:t>
      </w:r>
      <w:r>
        <w:rPr>
          <w:rFonts w:ascii="Arial" w:cs="Arial" w:eastAsia="Arial" w:hAnsi="Arial"/>
          <w:sz w:val="15"/>
          <w:szCs w:val="15"/>
          <w:color w:val="auto"/>
        </w:rPr>
        <w:t>, MDL No. 2084. These cases, brought by private plaintiffs and the Federal Trade Commission (FTC), generally allege Solvay's 2006 patent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litigation involving AndroGel was sham litigation and the patent litigation settlement agreement and related agreements with three generic companies violate federal and state antitrust laws and state consumer protection and unjust enrichment laws. Plaintiffs generally seek monetary damages and/or injunctive relief and attorneys' fees. MDL 2084 includes: (a) 3 individual plaintiff lawsuits: </w:t>
      </w:r>
      <w:r>
        <w:rPr>
          <w:rFonts w:ascii="Arial" w:cs="Arial" w:eastAsia="Arial" w:hAnsi="Arial"/>
          <w:sz w:val="15"/>
          <w:szCs w:val="15"/>
          <w:i w:val="1"/>
          <w:iCs w:val="1"/>
          <w:color w:val="auto"/>
        </w:rPr>
        <w:t>Supervalu, Inc. v. Unimed Pharmaceuticals, Inc. et al</w:t>
      </w:r>
      <w:r>
        <w:rPr>
          <w:rFonts w:ascii="Arial" w:cs="Arial" w:eastAsia="Arial" w:hAnsi="Arial"/>
          <w:sz w:val="15"/>
          <w:szCs w:val="15"/>
          <w:color w:val="auto"/>
        </w:rPr>
        <w:t xml:space="preserve">., was filed in April 2010 in the United States District Court for the Northern District of Georgia; and </w:t>
      </w:r>
      <w:r>
        <w:rPr>
          <w:rFonts w:ascii="Arial" w:cs="Arial" w:eastAsia="Arial" w:hAnsi="Arial"/>
          <w:sz w:val="15"/>
          <w:szCs w:val="15"/>
          <w:i w:val="1"/>
          <w:iCs w:val="1"/>
          <w:color w:val="auto"/>
        </w:rPr>
        <w:t>Rite Aid Corp. et al. v. Unimed Pharmaceuticals, Inc. et al</w:t>
      </w:r>
      <w:r>
        <w:rPr>
          <w:rFonts w:ascii="Arial" w:cs="Arial" w:eastAsia="Arial" w:hAnsi="Arial"/>
          <w:sz w:val="15"/>
          <w:szCs w:val="15"/>
          <w:color w:val="auto"/>
        </w:rPr>
        <w:t xml:space="preserve">. and </w:t>
      </w:r>
      <w:r>
        <w:rPr>
          <w:rFonts w:ascii="Arial" w:cs="Arial" w:eastAsia="Arial" w:hAnsi="Arial"/>
          <w:sz w:val="15"/>
          <w:szCs w:val="15"/>
          <w:i w:val="1"/>
          <w:iCs w:val="1"/>
          <w:color w:val="auto"/>
        </w:rPr>
        <w:t>Walgreen Co. et al. v. Unimed</w:t>
      </w:r>
      <w:r>
        <w:rPr>
          <w:rFonts w:ascii="Arial" w:cs="Arial" w:eastAsia="Arial" w:hAnsi="Arial"/>
          <w:sz w:val="15"/>
          <w:szCs w:val="15"/>
          <w:color w:val="auto"/>
        </w:rPr>
        <w:t xml:space="preserve"> </w:t>
      </w:r>
      <w:r>
        <w:rPr>
          <w:rFonts w:ascii="Arial" w:cs="Arial" w:eastAsia="Arial" w:hAnsi="Arial"/>
          <w:sz w:val="15"/>
          <w:szCs w:val="15"/>
          <w:i w:val="1"/>
          <w:iCs w:val="1"/>
          <w:color w:val="auto"/>
        </w:rPr>
        <w:t>Pharmaceuticals, Inc. et al</w:t>
      </w:r>
      <w:r>
        <w:rPr>
          <w:rFonts w:ascii="Arial" w:cs="Arial" w:eastAsia="Arial" w:hAnsi="Arial"/>
          <w:sz w:val="15"/>
          <w:szCs w:val="15"/>
          <w:color w:val="auto"/>
        </w:rPr>
        <w:t>., both of which were filed in June 2009 in the United States District Court for the Middle District of Pennsylvania and subsequently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transferred to the United States District Court for the Northern District of Georgia; (b) 7 purported class actions: </w:t>
      </w:r>
      <w:r>
        <w:rPr>
          <w:rFonts w:ascii="Arial" w:cs="Arial" w:eastAsia="Arial" w:hAnsi="Arial"/>
          <w:sz w:val="15"/>
          <w:szCs w:val="15"/>
          <w:i w:val="1"/>
          <w:iCs w:val="1"/>
          <w:color w:val="auto"/>
        </w:rPr>
        <w:t>Meijer, Inc. et al. v. Unimed Pharmaceuticals, Inc. et</w:t>
      </w:r>
      <w:r>
        <w:rPr>
          <w:rFonts w:ascii="Arial" w:cs="Arial" w:eastAsia="Arial" w:hAnsi="Arial"/>
          <w:sz w:val="15"/>
          <w:szCs w:val="15"/>
          <w:color w:val="auto"/>
        </w:rPr>
        <w:t xml:space="preserve"> </w:t>
      </w:r>
      <w:r>
        <w:rPr>
          <w:rFonts w:ascii="Arial" w:cs="Arial" w:eastAsia="Arial" w:hAnsi="Arial"/>
          <w:sz w:val="15"/>
          <w:szCs w:val="15"/>
          <w:i w:val="1"/>
          <w:iCs w:val="1"/>
          <w:color w:val="auto"/>
        </w:rPr>
        <w:t>al</w:t>
      </w:r>
      <w:r>
        <w:rPr>
          <w:rFonts w:ascii="Arial" w:cs="Arial" w:eastAsia="Arial" w:hAnsi="Arial"/>
          <w:sz w:val="15"/>
          <w:szCs w:val="15"/>
          <w:color w:val="auto"/>
        </w:rPr>
        <w:t>.,</w:t>
      </w:r>
      <w:r>
        <w:rPr>
          <w:rFonts w:ascii="Arial" w:cs="Arial" w:eastAsia="Arial" w:hAnsi="Arial"/>
          <w:sz w:val="15"/>
          <w:szCs w:val="15"/>
          <w:i w:val="1"/>
          <w:iCs w:val="1"/>
          <w:color w:val="auto"/>
        </w:rPr>
        <w:t xml:space="preserve"> Rochester Drug Co-Operative, Inc. et al. v. Unimed Pharmaceuticals, Inc. et al</w:t>
      </w:r>
      <w:r>
        <w:rPr>
          <w:rFonts w:ascii="Arial" w:cs="Arial" w:eastAsia="Arial" w:hAnsi="Arial"/>
          <w:sz w:val="15"/>
          <w:szCs w:val="15"/>
          <w:color w:val="auto"/>
        </w:rPr>
        <w:t>., and</w:t>
      </w:r>
      <w:r>
        <w:rPr>
          <w:rFonts w:ascii="Arial" w:cs="Arial" w:eastAsia="Arial" w:hAnsi="Arial"/>
          <w:sz w:val="15"/>
          <w:szCs w:val="15"/>
          <w:i w:val="1"/>
          <w:iCs w:val="1"/>
          <w:color w:val="auto"/>
        </w:rPr>
        <w:t xml:space="preserve"> Louisiana Wholesale Drug Co., Inc. et al. v. Unimed Pharmaceuticals, Inc. et al</w:t>
      </w:r>
      <w:r>
        <w:rPr>
          <w:rFonts w:ascii="Arial" w:cs="Arial" w:eastAsia="Arial" w:hAnsi="Arial"/>
          <w:sz w:val="15"/>
          <w:szCs w:val="15"/>
          <w:color w:val="auto"/>
        </w:rPr>
        <w:t>., all of which were filed in May 2009 in the United States District Court for the Northern District of Georgia;</w:t>
      </w:r>
      <w:r>
        <w:rPr>
          <w:rFonts w:ascii="Arial" w:cs="Arial" w:eastAsia="Arial" w:hAnsi="Arial"/>
          <w:sz w:val="15"/>
          <w:szCs w:val="15"/>
          <w:i w:val="1"/>
          <w:iCs w:val="1"/>
          <w:color w:val="auto"/>
        </w:rPr>
        <w:t xml:space="preserve"> Fraternal Order of Police v. Unimed Pharmaceuticals, Inc. et al</w:t>
      </w:r>
      <w:r>
        <w:rPr>
          <w:rFonts w:ascii="Arial" w:cs="Arial" w:eastAsia="Arial" w:hAnsi="Arial"/>
          <w:sz w:val="15"/>
          <w:szCs w:val="15"/>
          <w:color w:val="auto"/>
        </w:rPr>
        <w:t>., filed in September 2009 in the United States District Court for the Northern District of Georgia;</w:t>
      </w:r>
      <w:r>
        <w:rPr>
          <w:rFonts w:ascii="Arial" w:cs="Arial" w:eastAsia="Arial" w:hAnsi="Arial"/>
          <w:sz w:val="15"/>
          <w:szCs w:val="15"/>
          <w:i w:val="1"/>
          <w:iCs w:val="1"/>
          <w:color w:val="auto"/>
        </w:rPr>
        <w:t xml:space="preserve"> Jabo's Pharmacy, Inc. v. Solvay Pharmaceuticals, Inc. et al</w:t>
      </w:r>
      <w:r>
        <w:rPr>
          <w:rFonts w:ascii="Arial" w:cs="Arial" w:eastAsia="Arial" w:hAnsi="Arial"/>
          <w:sz w:val="15"/>
          <w:szCs w:val="15"/>
          <w:color w:val="auto"/>
        </w:rPr>
        <w:t>., filed in October 2009 in the United States District Court for the Eastern District of Tennessee;</w:t>
      </w:r>
      <w:r>
        <w:rPr>
          <w:rFonts w:ascii="Arial" w:cs="Arial" w:eastAsia="Arial" w:hAnsi="Arial"/>
          <w:sz w:val="15"/>
          <w:szCs w:val="15"/>
          <w:i w:val="1"/>
          <w:iCs w:val="1"/>
          <w:color w:val="auto"/>
        </w:rPr>
        <w:t xml:space="preserve"> LeGrand v. Unimed Pharmaceuticals, Inc. et al</w:t>
      </w:r>
      <w:r>
        <w:rPr>
          <w:rFonts w:ascii="Arial" w:cs="Arial" w:eastAsia="Arial" w:hAnsi="Arial"/>
          <w:sz w:val="15"/>
          <w:szCs w:val="15"/>
          <w:color w:val="auto"/>
        </w:rPr>
        <w:t>., filed in September 2010 in the United States District Court for the Northern District of Georgia; and</w:t>
      </w:r>
      <w:r>
        <w:rPr>
          <w:rFonts w:ascii="Arial" w:cs="Arial" w:eastAsia="Arial" w:hAnsi="Arial"/>
          <w:sz w:val="15"/>
          <w:szCs w:val="15"/>
          <w:i w:val="1"/>
          <w:iCs w:val="1"/>
          <w:color w:val="auto"/>
        </w:rPr>
        <w:t xml:space="preserve"> Health Net, Inc. v. Solvay Pharmaceuticals, Inc</w:t>
      </w:r>
      <w:r>
        <w:rPr>
          <w:rFonts w:ascii="Arial" w:cs="Arial" w:eastAsia="Arial" w:hAnsi="Arial"/>
          <w:sz w:val="15"/>
          <w:szCs w:val="15"/>
          <w:color w:val="auto"/>
        </w:rPr>
        <w:t>., filed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February 2011 in the Northern District of Georgia; and (c) a lawsuit brought by the FTC, </w:t>
      </w:r>
      <w:r>
        <w:rPr>
          <w:rFonts w:ascii="Arial" w:cs="Arial" w:eastAsia="Arial" w:hAnsi="Arial"/>
          <w:sz w:val="15"/>
          <w:szCs w:val="15"/>
          <w:i w:val="1"/>
          <w:iCs w:val="1"/>
          <w:color w:val="auto"/>
        </w:rPr>
        <w:t>Federal Trade Commission v. Watson Pharmaceuticals, Inc. et al</w:t>
      </w:r>
      <w:r>
        <w:rPr>
          <w:rFonts w:ascii="Arial" w:cs="Arial" w:eastAsia="Arial" w:hAnsi="Arial"/>
          <w:sz w:val="15"/>
          <w:szCs w:val="15"/>
          <w:color w:val="auto"/>
        </w:rPr>
        <w:t>., filed in May 2009 in the United States District Court for the Northern District of Georgia. In February 2010, Solvay's motion to dismiss the cases was partially granted and all of the FTC's claims and all of the plaintiffs' claims except those alleging sham litigation were dismissed. In May 2012, that decision was affirmed on appeal by the United States Court of Appeals for the Eleventh Circuit, and in October 2012, the FTC filed a writ of certiorari with the United States Supreme Court seeking a review of the decision. In September 2012, the District Court granted summary judgment in favor of Solvay on the remaining claims of the private plaintiffs.</w:t>
      </w:r>
    </w:p>
    <w:p>
      <w:pPr>
        <w:spacing w:after="0" w:line="379"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United States Department of Justice, through the United States Attorney for Maryland, is investigating the sales and marketing practices of Abbott for Micardis®, a drug co-promoted for (until March 31, 2006) and manufactured by Boehringer Ingelheim. The government is seeking to determine whether any of these practices resulted in any violations of civil and/or criminal laws, including the Federal False Claims Act and the Anti-Kickback Statute, in connection with the Medicare and/or Medicaid reimbursement paid to third parties.</w:t>
      </w:r>
    </w:p>
    <w:p>
      <w:pPr>
        <w:spacing w:after="0" w:line="185"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Abbott is seeking to enforce its patent rights relating to fenofibrate tablets (a drug Abbott sells under the trademark TriCor). In a case filed in the United States District Court for the District of New Jersey in August 2011, Abbott and the patent owner, Laboratoires Fournier, S.A. (Fournier), allege infringement of three patents and seek injunctive relief against Mylan Pharmaceuticals Inc. and Mylan, Inc. (Mylan). In a second case filed in the United States District Court for the District of New Jersey in December 2011, Abbott and Fournier allege infringement of the same patents and seek injunctive relief against Wockhardt, Ltd. and Wockhardt USA, LLC (Wockhardt). In related cases where Abbott is involved as a result of its acquisition of Fournier Laboratories Ireland Ltd. (Fournier Ireland), Abbott is seeking to enforce additional rights relating to fenofibrate tablets. In a case filed in the United States District Court for the District of New Jersey in August 2011, Abbott's subsidiary,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Fournier Ireland, and joint patent owner, Alkermes Pharma Ireland Limited (Alkermes), allege infringement of two jointly-owned patents and seek injunctive relief against Mylan. In a second case filed in the United States District Court for the District of New Jersey in December 2011, Alkermes and Fournier Ireland allege infringement of the same patents and seek injunctive relief against Wockhardt.</w:t>
      </w:r>
    </w:p>
    <w:p>
      <w:pPr>
        <w:spacing w:after="0" w:line="17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Abbott is seeking to enforce its patent rights relating to ritonavir/lopinavir tablets (a drug Abbott sells under the trademark Kaletra). In a case filed in the United States District Court for the Northern District of Illinois in March 2009, Abbott alleges that Matrix Laboratories, Inc., Matrix Laboratories, Ltd., and Mylan, Inc.'s proposed generic products infringe Abbott's patents and seeks declaratory and injunctive relief. Upon Matrix's motion in November 2009, the court granted a five-year stay of the litigation unless good cause to lift the stay is shown.</w:t>
      </w:r>
    </w:p>
    <w:p>
      <w:pPr>
        <w:spacing w:after="0" w:line="185" w:lineRule="exact"/>
        <w:rPr>
          <w:sz w:val="20"/>
          <w:szCs w:val="20"/>
          <w:color w:val="auto"/>
        </w:rPr>
      </w:pPr>
    </w:p>
    <w:p>
      <w:pPr>
        <w:ind w:right="200" w:firstLine="332"/>
        <w:spacing w:after="0" w:line="311" w:lineRule="auto"/>
        <w:rPr>
          <w:sz w:val="20"/>
          <w:szCs w:val="20"/>
          <w:color w:val="auto"/>
        </w:rPr>
      </w:pPr>
      <w:r>
        <w:rPr>
          <w:rFonts w:ascii="Arial" w:cs="Arial" w:eastAsia="Arial" w:hAnsi="Arial"/>
          <w:sz w:val="15"/>
          <w:szCs w:val="15"/>
          <w:color w:val="auto"/>
        </w:rPr>
        <w:t>Abbott is seeking to enforce its patent rights relating to ritonavir tablets (a drug Abbott sells under the trademark Norvir). In a case filed in the United States District Court for the District of Delaware in April 2012, Abbott alleges that Roxane Laboratories, Inc.'s (Roxane) proposed generic ritonavir product infringes five Abbott patents and seeks declaratory and injunctive relief. Also in April 2012, Roxane filed a declaratory judgment action in the United States District Court for the Southern District of Ohio alleging that two of the five Abbott patents are invalid and not infringed by Roxane's proposed generic ritonavir product.</w:t>
      </w:r>
    </w:p>
    <w:p>
      <w:pPr>
        <w:spacing w:after="0" w:line="15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Abbott is seeking to enforce its patent rights relating to niacin extended release tablets (a drug Abbott sells under the trademark Niaspan). In February 2010, Abbott filed a case in the United States District Court for the District of Delaware alleging that Sun Pharmaceutical Industries Limited's and Sun Pharma Global FZE's generic product infringes Abbott's patents and seeks declaratory and injunctive relief. In a second case filed in June 2010 in the United States District Court for the District of Delaware, Abbott alleges Sandoz, Inc.'s proposed generic product infringes Abbott's patents and seeks declaratory and injunctive relief. In a third case filed in January 2012 in the United States District Court for the District of Delaware, Abbott alleges Zydus Pharmaceuticals USA, Inc.'s proposed generic product infringes Abbott's patents and seeks declaratory and injunctive relief. In cases filed in February 2012 and August 2012 in the United States District Court for the District of Delaware, Abbott alleges that Amneal Pharmaceutical's proposed generic products infringe Abbott's patents and seeks declaratory and injunctive relief. In two additional cases, each filed in the United States District Court for the District of Delaware in March 2012, Abbott alleges that Mylan Pharmaceutical's and Watson Pharmaceutical's proposed generic products infringe Abbott's patents and seeks declaratory and injunctive relief. Finally, in a case filed in the United States District Court for the District of Delaware in June 2012, Abbott alleges that Kremers Urban Pharmaceuticals Inc.'s proposed generic product infringes Abbott's patents and seeks declaratory and injunctive relief.</w:t>
      </w:r>
    </w:p>
    <w:p>
      <w:pPr>
        <w:spacing w:after="0" w:line="181"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Abbott is seeking to enforce certain patent rights that cover the use of fully human anti-TNF alpha antibodies with methotrexate to treat rheumatoid arthritis. In a case filed in the United States District Court for the District of Massachusetts in May 2009, Abbott alleges Centocor Inc.'s product Simponi® infringes Abbott's patents and seeks damages and injunctive relief.</w:t>
      </w:r>
    </w:p>
    <w:p>
      <w:pPr>
        <w:spacing w:after="0" w:line="179"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Abbott is seeking to enforce its patent rights relating to fenofibric acid capsules (a drug Abbott sells under the trademark Trilipix). In a case against Sandoz, Inc., filed in March 2011 in the United States District Court for the District of New Jersey, Abbott and its subsidiary Fournier Ireland allege that Sandoz's proposed generic product infringes Abbott's patent and seek injunctive relief.</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Following the Separation</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While some of AbbVie's executive officers are currently officers and employees of Abbott, upon the separation, none of these individuals will continue to be employees or executive officers of Abbott. The following table sets forth information regarding individuals who are expected to serve as AbbVie's executive officers, including their positions after the separation.</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40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Age</w:t>
            </w:r>
          </w:p>
        </w:tc>
        <w:tc>
          <w:tcPr>
            <w:tcW w:w="240" w:type="dxa"/>
            <w:vAlign w:val="bottom"/>
          </w:tcPr>
          <w:p>
            <w:pPr>
              <w:spacing w:after="0"/>
              <w:rPr>
                <w:sz w:val="13"/>
                <w:szCs w:val="13"/>
                <w:color w:val="auto"/>
              </w:rPr>
            </w:pPr>
          </w:p>
        </w:tc>
        <w:tc>
          <w:tcPr>
            <w:tcW w:w="6260" w:type="dxa"/>
            <w:vAlign w:val="bottom"/>
          </w:tcPr>
          <w:p>
            <w:pPr>
              <w:ind w:left="290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6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Chairman of the Board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500" w:type="dxa"/>
            <w:vAlign w:val="bottom"/>
          </w:tcPr>
          <w:p>
            <w:pPr>
              <w:jc w:val="right"/>
              <w:spacing w:after="0"/>
              <w:rPr>
                <w:sz w:val="20"/>
                <w:szCs w:val="20"/>
                <w:color w:val="auto"/>
              </w:rPr>
            </w:pPr>
            <w:r>
              <w:rPr>
                <w:rFonts w:ascii="Arial" w:cs="Arial" w:eastAsia="Arial" w:hAnsi="Arial"/>
                <w:sz w:val="17"/>
                <w:szCs w:val="17"/>
                <w:color w:val="auto"/>
              </w:rPr>
              <w:t>44</w:t>
            </w:r>
          </w:p>
        </w:tc>
        <w:tc>
          <w:tcPr>
            <w:tcW w:w="6500" w:type="dxa"/>
            <w:vAlign w:val="bottom"/>
            <w:gridSpan w:val="2"/>
          </w:tcPr>
          <w:p>
            <w:pPr>
              <w:ind w:left="240"/>
              <w:spacing w:after="0"/>
              <w:rPr>
                <w:sz w:val="20"/>
                <w:szCs w:val="20"/>
                <w:color w:val="auto"/>
              </w:rPr>
            </w:pPr>
            <w:r>
              <w:rPr>
                <w:rFonts w:ascii="Arial" w:cs="Arial" w:eastAsia="Arial" w:hAnsi="Arial"/>
                <w:sz w:val="17"/>
                <w:szCs w:val="17"/>
                <w:color w:val="auto"/>
              </w:rPr>
              <w:t>Executive Vice President, Chief Financial Officer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 Schumacher</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Executive Vice President, Business Development and External Affairs and General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Counsel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Carlos Alban</w:t>
            </w: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6500" w:type="dxa"/>
            <w:vAlign w:val="bottom"/>
            <w:gridSpan w:val="2"/>
          </w:tcPr>
          <w:p>
            <w:pPr>
              <w:ind w:left="240"/>
              <w:spacing w:after="0"/>
              <w:rPr>
                <w:sz w:val="20"/>
                <w:szCs w:val="20"/>
                <w:color w:val="auto"/>
              </w:rPr>
            </w:pPr>
            <w:r>
              <w:rPr>
                <w:rFonts w:ascii="Arial" w:cs="Arial" w:eastAsia="Arial" w:hAnsi="Arial"/>
                <w:sz w:val="17"/>
                <w:szCs w:val="17"/>
                <w:color w:val="auto"/>
              </w:rPr>
              <w:t>Executive Vice President, Global Commercial 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 Leonard, M.D.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6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Senior Vice President, Chief Scientific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Timothy J. Richmond</w:t>
            </w:r>
          </w:p>
        </w:tc>
        <w:tc>
          <w:tcPr>
            <w:tcW w:w="500" w:type="dxa"/>
            <w:vAlign w:val="bottom"/>
          </w:tcPr>
          <w:p>
            <w:pPr>
              <w:jc w:val="right"/>
              <w:spacing w:after="0"/>
              <w:rPr>
                <w:sz w:val="20"/>
                <w:szCs w:val="20"/>
                <w:color w:val="auto"/>
              </w:rPr>
            </w:pPr>
            <w:r>
              <w:rPr>
                <w:rFonts w:ascii="Arial" w:cs="Arial" w:eastAsia="Arial" w:hAnsi="Arial"/>
                <w:sz w:val="17"/>
                <w:szCs w:val="17"/>
                <w:color w:val="auto"/>
              </w:rPr>
              <w:t>46</w:t>
            </w:r>
          </w:p>
        </w:tc>
        <w:tc>
          <w:tcPr>
            <w:tcW w:w="6500" w:type="dxa"/>
            <w:vAlign w:val="bottom"/>
            <w:gridSpan w:val="2"/>
          </w:tcPr>
          <w:p>
            <w:pPr>
              <w:ind w:left="240"/>
              <w:spacing w:after="0"/>
              <w:rPr>
                <w:sz w:val="20"/>
                <w:szCs w:val="20"/>
                <w:color w:val="auto"/>
              </w:rPr>
            </w:pPr>
            <w:r>
              <w:rPr>
                <w:rFonts w:ascii="Arial" w:cs="Arial" w:eastAsia="Arial" w:hAnsi="Arial"/>
                <w:sz w:val="17"/>
                <w:szCs w:val="17"/>
                <w:color w:val="auto"/>
              </w:rPr>
              <w:t>Senior Vice President, Chief Human Resources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Azita Saleki-Gerhardt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Thomas A. Hurwich</w:t>
            </w:r>
          </w:p>
        </w:tc>
        <w:tc>
          <w:tcPr>
            <w:tcW w:w="500" w:type="dxa"/>
            <w:vAlign w:val="bottom"/>
          </w:tcPr>
          <w:p>
            <w:pPr>
              <w:jc w:val="right"/>
              <w:spacing w:after="0"/>
              <w:rPr>
                <w:sz w:val="20"/>
                <w:szCs w:val="20"/>
                <w:color w:val="auto"/>
              </w:rPr>
            </w:pPr>
            <w:r>
              <w:rPr>
                <w:rFonts w:ascii="Arial" w:cs="Arial" w:eastAsia="Arial" w:hAnsi="Arial"/>
                <w:sz w:val="17"/>
                <w:szCs w:val="17"/>
                <w:color w:val="auto"/>
              </w:rPr>
              <w:t>52</w:t>
            </w:r>
          </w:p>
        </w:tc>
        <w:tc>
          <w:tcPr>
            <w:tcW w:w="6500" w:type="dxa"/>
            <w:vAlign w:val="bottom"/>
            <w:gridSpan w:val="2"/>
          </w:tcPr>
          <w:p>
            <w:pPr>
              <w:ind w:left="240"/>
              <w:spacing w:after="0"/>
              <w:rPr>
                <w:sz w:val="20"/>
                <w:szCs w:val="20"/>
                <w:color w:val="auto"/>
              </w:rPr>
            </w:pPr>
            <w:r>
              <w:rPr>
                <w:rFonts w:ascii="Arial" w:cs="Arial" w:eastAsia="Arial" w:hAnsi="Arial"/>
                <w:sz w:val="17"/>
                <w:szCs w:val="17"/>
                <w:color w:val="auto"/>
              </w:rPr>
              <w:t>Vice President, Controller</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Mr. Gonzalez is the Chairman and Chief Executive Officer of AbbVie. He has served as Abbott's Executive Vice President, Pharmaceutical Products Group since July 2010, and is responsible for Abbott's worldwide pharmaceutical business, including commercial operations, research and development, and manufacturing. He has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(now Hospira, Inc.), Vice President and President of Abbott's Health Systems Division, and Divisional Vice President and General Manager for Abbott's Diagnostics Operations in the United States and Canada.</w:t>
      </w:r>
    </w:p>
    <w:p>
      <w:pPr>
        <w:spacing w:after="0" w:line="162"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Mr. Chase will be named Executive Vice President, Chief Financial Officer of AbbVie. He has served as Vice President, Licensing and Acquisitions since 2010, Vice President, Treasurer from 2007 to 2010, and Divisional Vice President, Controller of Abbott International from 2004 to 2007. Mr. Chase became a corporate officer of Abbott in December 2007. Mr. Chase joined Abbott in 1989.</w:t>
      </w:r>
    </w:p>
    <w:p>
      <w:pPr>
        <w:spacing w:after="0" w:line="179"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Ms. Schumacher will be named Executive Vice President, Business Development and External Affairs and General Counsel of AbbVie. She has served as Executive Vice President, General Counsel, and Corporate Secretary of Abbott since 2007 and Abbott's Senior Vice President, Corporate Secretary, and General Counsel from 2005 to 2007. Ms. Schumacher is also responsible for Abbott's licensing and acquisitions function and its Office of Ethics and Compliance and will be responsible for those functions at AbbVie. Prior to her appointment as General Counsel, Ms. Schumacher headed Abbott's litigation department. Ms. Schumacher became a corporate officer of Abbott in 2003. Ms. Schumacher joined Abbott in 1990.</w:t>
      </w:r>
    </w:p>
    <w:p>
      <w:pPr>
        <w:spacing w:after="0" w:line="187" w:lineRule="exact"/>
        <w:rPr>
          <w:sz w:val="20"/>
          <w:szCs w:val="20"/>
          <w:color w:val="auto"/>
        </w:rPr>
      </w:pPr>
    </w:p>
    <w:p>
      <w:pPr>
        <w:ind w:right="120" w:firstLine="341"/>
        <w:spacing w:after="0" w:line="287" w:lineRule="auto"/>
        <w:rPr>
          <w:sz w:val="20"/>
          <w:szCs w:val="20"/>
          <w:color w:val="auto"/>
        </w:rPr>
      </w:pPr>
      <w:r>
        <w:rPr>
          <w:rFonts w:ascii="Arial" w:cs="Arial" w:eastAsia="Arial" w:hAnsi="Arial"/>
          <w:sz w:val="16"/>
          <w:szCs w:val="16"/>
          <w:color w:val="auto"/>
        </w:rPr>
        <w:t>Mr. Alban is expected to be named AbbVie's Executive Vice President, Global Commercial Operations at or before the distribution. He has served as Abbott's Senior Vice President, Proprietary Pharmaceutical Products, Global Commercial Operations since 2011, as Senior Vice President, International Pharmaceuticals from 2009 to 2011, and as Vice President, Pharmaceuticals, Western Europe and Canada from 2008 to 2009, as Vice President, Western Europe and Canada from 2007 to 2008, and as Vice President, European Operations from 2006 to 2007. Mr. Alban joined Abbott in 1986.</w:t>
      </w:r>
    </w:p>
    <w:p>
      <w:pPr>
        <w:spacing w:after="0" w:line="169"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Dr. Leonard is expected to be named Senior Vice President, Chief Scientific Officer of AbbVie at or before the distribution. He has served as Abbott's Senior Vice President, Pharmaceuticals,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and Development since 2008 and Vice President, Global Pharmaceutical Research and Development from 2006 to 2008. Dr. Leonard became a corporate officer of Abbott in 1999. Dr. Leonard joined Abbott in 1992.</w:t>
      </w:r>
    </w:p>
    <w:p>
      <w:pPr>
        <w:spacing w:after="0" w:line="170" w:lineRule="exact"/>
        <w:rPr>
          <w:sz w:val="20"/>
          <w:szCs w:val="20"/>
          <w:color w:val="auto"/>
        </w:rPr>
      </w:pPr>
    </w:p>
    <w:p>
      <w:pPr>
        <w:ind w:right="540" w:firstLine="341"/>
        <w:spacing w:after="0" w:line="270" w:lineRule="auto"/>
        <w:rPr>
          <w:sz w:val="20"/>
          <w:szCs w:val="20"/>
          <w:color w:val="auto"/>
        </w:rPr>
      </w:pPr>
      <w:r>
        <w:rPr>
          <w:rFonts w:ascii="Arial" w:cs="Arial" w:eastAsia="Arial" w:hAnsi="Arial"/>
          <w:sz w:val="17"/>
          <w:szCs w:val="17"/>
          <w:color w:val="auto"/>
        </w:rPr>
        <w:t>Mr. Richmond will be named Senior Vice President, Chief Human Resources Officer of AbbVie. He has served as Abbott's Divisional Vice President of Compensation &amp; Benefits since 2008, Group Vice President of Talent and Rewards since 2007, and Divisional Vice President of Talent Acquisition since 2006. Mr. Richmond joined Abbott in 2006.</w:t>
      </w:r>
    </w:p>
    <w:p>
      <w:pPr>
        <w:spacing w:after="0" w:line="179" w:lineRule="exact"/>
        <w:rPr>
          <w:sz w:val="20"/>
          <w:szCs w:val="20"/>
          <w:color w:val="auto"/>
        </w:rPr>
      </w:pPr>
    </w:p>
    <w:p>
      <w:pPr>
        <w:ind w:right="240" w:firstLine="332"/>
        <w:spacing w:after="0" w:line="270" w:lineRule="auto"/>
        <w:rPr>
          <w:sz w:val="20"/>
          <w:szCs w:val="20"/>
          <w:color w:val="auto"/>
        </w:rPr>
      </w:pPr>
      <w:r>
        <w:rPr>
          <w:rFonts w:ascii="Arial" w:cs="Arial" w:eastAsia="Arial" w:hAnsi="Arial"/>
          <w:sz w:val="17"/>
          <w:szCs w:val="17"/>
          <w:color w:val="auto"/>
        </w:rPr>
        <w:t>Azita Saleki-Gerhardt is expected to be named AbbVie's Senior Vice President, Operations at or prior to the distribution. Ms. Saleki-Gerhardt has served as Abbott's Vice President, Pharmaceuticals Manufacturing and Supply since 2011 and served as Divisional Vice President, Quality Assurance, Global Pharmaceutical Operations from 2008 to 2011. Ms. Saleki-Gerhardt joined Abbott in 1993.</w:t>
      </w:r>
    </w:p>
    <w:p>
      <w:pPr>
        <w:spacing w:after="0" w:line="179"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Thomas A. Hurwich is expected to be named AbbVie's Vice President, Controller at or prior to the distribution. Mr. Hurwich has served as Abbott's Vice President, Internal Audit since 2009 and served as Divisional Vice President, Controller, Abbott Diagnostics Division from 2003 to 2009. Mr. Hurwich joined Abbott in 1983.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Following the Separation</w:t>
      </w:r>
    </w:p>
    <w:p>
      <w:pPr>
        <w:spacing w:after="0" w:line="228"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The following table sets forth information with respect to those persons, in addition to Mr. Gonzalez, who are expected to serve on AbbVie's board of directors following the completion of the separation. The nominees will be presented to AbbVie's sole stockholder, Abbott, for election prior to the separation. AbbVie may name and present additional nominees for election prior to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206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of the Board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Robert J. Alpern, M.D.</w:t>
            </w:r>
          </w:p>
        </w:tc>
        <w:tc>
          <w:tcPr>
            <w:tcW w:w="340" w:type="dxa"/>
            <w:vAlign w:val="bottom"/>
          </w:tcPr>
          <w:p>
            <w:pPr>
              <w:jc w:val="right"/>
              <w:spacing w:after="0"/>
              <w:rPr>
                <w:sz w:val="20"/>
                <w:szCs w:val="20"/>
                <w:color w:val="auto"/>
              </w:rPr>
            </w:pPr>
            <w:r>
              <w:rPr>
                <w:rFonts w:ascii="Arial" w:cs="Arial" w:eastAsia="Arial" w:hAnsi="Arial"/>
                <w:sz w:val="17"/>
                <w:szCs w:val="17"/>
                <w:color w:val="auto"/>
              </w:rPr>
              <w:t>61</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Roxanne S. Austin</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William H.L. Burnside</w:t>
            </w:r>
          </w:p>
        </w:tc>
        <w:tc>
          <w:tcPr>
            <w:tcW w:w="340" w:type="dxa"/>
            <w:vAlign w:val="bottom"/>
          </w:tcPr>
          <w:p>
            <w:pPr>
              <w:jc w:val="right"/>
              <w:spacing w:after="0"/>
              <w:rPr>
                <w:sz w:val="20"/>
                <w:szCs w:val="20"/>
                <w:color w:val="auto"/>
              </w:rPr>
            </w:pPr>
            <w:r>
              <w:rPr>
                <w:rFonts w:ascii="Arial" w:cs="Arial" w:eastAsia="Arial" w:hAnsi="Arial"/>
                <w:sz w:val="17"/>
                <w:szCs w:val="17"/>
                <w:color w:val="auto"/>
              </w:rPr>
              <w:t>61</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M. Liddy</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Edward J. Rapp</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Roy S. Roberts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Glenn F. Tilton</w:t>
            </w:r>
          </w:p>
        </w:tc>
        <w:tc>
          <w:tcPr>
            <w:tcW w:w="340" w:type="dxa"/>
            <w:vAlign w:val="bottom"/>
          </w:tcPr>
          <w:p>
            <w:pPr>
              <w:jc w:val="right"/>
              <w:spacing w:after="0"/>
              <w:rPr>
                <w:sz w:val="20"/>
                <w:szCs w:val="20"/>
                <w:color w:val="auto"/>
              </w:rPr>
            </w:pPr>
            <w:r>
              <w:rPr>
                <w:rFonts w:ascii="Arial" w:cs="Arial" w:eastAsia="Arial" w:hAnsi="Arial"/>
                <w:sz w:val="17"/>
                <w:szCs w:val="17"/>
                <w:color w:val="auto"/>
              </w:rPr>
              <w:t>64</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Frederick H. Waddell</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the time of the separation, AbbVie expects that its board of directors will consist of the directors set forth above. Upon completion of the separation, AbbVie's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board of directors will be divided into three classes, each comprised of directors. The directors designated as Class I directors will have terms expiring at the first annual meeting of stockholders following the distribution, which AbbVie expects to hold in 2013. The directors designated as Class II directors will have terms expiring at the following year's annual meeting of stockholders, which AbbVie expects to hold in 2014, and the directors designated as Class III directors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will have terms expiring at the following year's annual meeting of stockholders, which 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As a result of his service as Abbott's Executive Vice President, Pharmaceutical Products Group since July 2010, his previous service as Abbott's president and chief operating officer and his more than 30-year career at Abbott, Mr. Gonzalez has developed valuable business, management and leadership experience, as well as extensive knowledge of AbbVie and its global operations. Mr. Gonzalez will be able to use his experience and knowledge to contribute key insights into strategic, management, and operational matters to AbbVie's board.</w:t>
      </w:r>
    </w:p>
    <w:p>
      <w:pPr>
        <w:spacing w:after="0" w:line="185"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Dr. Alpern has served as the Ensign Professor of Medicine, Professor of Internal Medicine, and Dean of Yale School of Medicine since June 2004. From July 1998 to June 2004, Dr. Alpern was the Dean of The University of Texas Southwestern Medical Center. Dr. Alpern served on the Scientific Advisory Board of Ilypsa from 2004 until 2007 and since 2007 has served on the Scientific Advisory Board of Relypsa. Dr. Alpern also serves as a director of Abbott Laboratories and as a director on the Board of Yale–New Haven Hospital. As the Ensign Professor of Medicine, Professor of Internal Medicine, and Dean of Yale School of Medicine, Dean of The University of Texas Southwestern Medical Center, and as a director Yale–New Haven Hospital, Dr. Alpern contributes valuable insights to the Board through his medical and scientific expertise and his knowledge of the health care environment and the scientific nature of AbbVie's key research and development initiatives.</w:t>
      </w:r>
    </w:p>
    <w:p>
      <w:pPr>
        <w:spacing w:after="0" w:line="162"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Ms. Austin is president of Austin Investment Advisors, a private investment and consulting firm, a position she has held since 2004. From July 2009 through July 2010, Ms. Austin also served as the president and chief executive officer of Move Networks, Inc., a provider of Internet television services. Ms. Austin served as president and chief operating officer of DIRECTV, Inc. from June 2001 to December 2003. Ms. Austin is also a director of Abbott Laboratories, Target Corporation, Teledyne Technologies, Inc. and Telefonaktiebolaget LM Ericsson. Through her extensive management and operating roles, including her financial roles, Ms. Austin contributes significant oversight and leadership experience, including financial expertise and knowledge of financial statements, corporate finance and accounting matters.</w:t>
      </w:r>
    </w:p>
    <w:p>
      <w:pPr>
        <w:spacing w:after="0" w:line="188"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Mr. Burnside is a retired senior vice president and director at The Boston Consulting Group (BCG), where he currently serves as an advisor. Prior to becoming managing partner of BCG's Los Angeles office in 1987, he worked in BCG's London and Chicago offices, servicing clients in telecommunications, media, defense, financial services, and manufacturing. Mr. Burnside is a director at iFormation Group, Executive Service Corps Southern California and Audobon California. Through his experience with The Boston Consulting Group, Mr. Burnside acquired knowledge and understanding of corporate finance and capital markets matters, as well as global and domestic strategic advisory experience across a broad base of industries.</w:t>
      </w:r>
    </w:p>
    <w:p>
      <w:pPr>
        <w:spacing w:after="0" w:line="17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Mr. Liddy has been a partner in the private equity investment firm Clayton, Dubilier &amp; Rice, LLC since January 2010, having also been a partner at such firm from April to September 2008. From September 2008 to August 2009, Mr. Liddy was the interim chairman and chief executive officer of American International Group, Inc. (AIG). He served at AIG at the request of the U.S. Department of the Treasury. From January 1999 to April 2008, Mr. Liddy served as chairman of the board of the Allstate Corporation. He served as chief executive officer of Allstate from January 1999 to December 2006, President from January 1995 to May 2005, and chief operating officer from August 1994 to January 1999. Mr. Liddy currently serves on the board of directors of Abbott Laboratories, 3M Company, and The Boeing Company. In addition, Mr. Liddy formerly served on the boards of The Goldman Sachs Group, Inc. from 2003 to 2008 and The Boeing Company from 2007 to 2008. As the chairman and chief executive officer of Allstate Corporation and American International Group, Inc., Mr. Liddy brings valuable insights from the perspective of the insurance industry into AbbVie's pharmaceutical and medical device businesses. As a partner of Clayton, Dubilier &amp; Rice, LLC, Mr. Liddy gained significant knowledge and understanding of finance and capital markets matters as well as global and domestic strategic advisory experience.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Mr. Rapp has served as the chief financial officer of Caterpillar since 2010 and as group president since 2007. Mr. Rapp is presently a board member for FM Global, and Junior Achievement USA. He is currently a member of the University of Missouri College of Business Strategic Development Board. As a result of his tenure as group president and chief financial officer at Caterpillar, Inc., Mr. Rapp has acquired management, operational, and financial expertise and provides the board with an informed perspective on financial matters faced by a complex international company.</w:t>
      </w:r>
    </w:p>
    <w:p>
      <w:pPr>
        <w:spacing w:after="0" w:line="185" w:lineRule="exact"/>
        <w:rPr>
          <w:sz w:val="20"/>
          <w:szCs w:val="20"/>
          <w:color w:val="auto"/>
        </w:rPr>
      </w:pPr>
    </w:p>
    <w:p>
      <w:pPr>
        <w:ind w:right="160" w:firstLine="341"/>
        <w:spacing w:after="0" w:line="262" w:lineRule="auto"/>
        <w:rPr>
          <w:sz w:val="20"/>
          <w:szCs w:val="20"/>
          <w:color w:val="auto"/>
        </w:rPr>
      </w:pPr>
      <w:r>
        <w:rPr>
          <w:rFonts w:ascii="Arial" w:cs="Arial" w:eastAsia="Arial" w:hAnsi="Arial"/>
          <w:sz w:val="17"/>
          <w:szCs w:val="17"/>
          <w:color w:val="auto"/>
        </w:rPr>
        <w:t>Mr. Roberts is currently Emergency Financial Manager for Detroit Public Schools. Previously, he served as Managing Director of Reliant Equity Investors from 2000 to 2011. Mr. Roberts retired from General Motors in April 2000. At the time of his retirement, he was Group Vice President for North American Vehicle Sales, Service and Marketing of General Motors Corporation, having been elected to that position in October 1998. Mr. Roberts has served as director on the following boards: Thermon Manufacturing Company 2007-2010, Enova Systems, Inc., 2008-2011, Burlington Northern Santa Fe, 1991-2010, and Abbott Laboratories, 1998-2011. As a former executive of a major international corporation, Mr. Roberts has a strong record of valuable business, leadership, operational, and management experience which he brings to the board.</w:t>
      </w:r>
    </w:p>
    <w:p>
      <w:pPr>
        <w:spacing w:after="0" w:line="188" w:lineRule="exact"/>
        <w:rPr>
          <w:sz w:val="20"/>
          <w:szCs w:val="20"/>
          <w:color w:val="auto"/>
        </w:rPr>
      </w:pPr>
    </w:p>
    <w:p>
      <w:pPr>
        <w:ind w:right="60" w:firstLine="341"/>
        <w:spacing w:after="0" w:line="299" w:lineRule="auto"/>
        <w:rPr>
          <w:sz w:val="20"/>
          <w:szCs w:val="20"/>
          <w:color w:val="auto"/>
        </w:rPr>
      </w:pPr>
      <w:r>
        <w:rPr>
          <w:rFonts w:ascii="Arial" w:cs="Arial" w:eastAsia="Arial" w:hAnsi="Arial"/>
          <w:sz w:val="15"/>
          <w:szCs w:val="15"/>
          <w:color w:val="auto"/>
        </w:rPr>
        <w:t>In 2011, Mr. Tilton became chairman of the Midwest for JPMorgan Chase &amp; Co. and a member of its companywide executive committee. Since October 2010, Mr. Tilton has also been non-executive chairman of the board of United Continental Holdings, Inc. From September 2002 to October 2010, he served as chairman, president and chief executive officer of UAL Corporation, and chairman and chief executive officer of United Air Lines, Inc., its wholly owned subsidiary. UAL Corporation filed a voluntary bankruptcy petition under the federal bankruptcy laws in December 2002 and exited bankruptcy in February 2006. Mr. Tilton is also a director of Abbott Laboratories, United Continental Holdings, Inc., and Phillips 66. Mr. Tilton also served on the board of directors of Lincoln National Corporation from 2002 to 2007, of TXU Corporation from 2005 to 2007, and of Corning Incorporated from 2010 to 2012. As chairman of the Midwest for JPMorgan Chase &amp; Co. and non-executive chairman of the board of United Continental Holdings, Inc., and having previously served as chairman, president, and chief executive officer of UAL Corporation and United Air Lines, vice chairman of Chevron Texaco and as interim chairman of Dynegy, Inc., Mr. Tilton acquired strong management experience overseeing complex multinational businesses operating in highly regulated industries, as well as expertise in finance and capital markets matters.</w:t>
      </w:r>
    </w:p>
    <w:p>
      <w:pPr>
        <w:spacing w:after="0" w:line="164"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Mr. Waddell has served as the chief executive officer of Northern Trust Corporation and The Northern Trust Company since January 2008 and as chairman of the board since November 2009. He served as president from February 2006 through September 2011, and as chief operating officer from February 2006 to January 2008. He is currently a board member at the Federal Reserve Bank of Chicago and served as a board member of Northern Trust from February 2006 to November 2009 prior to becoming the chairman of the board. As chairman and chief executive officer of Northern Trust Corporation and The Northern Trust Company, Mr. Waddell possesses broad financial services experience with a strong record of leadership in a highly regulated industry.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4" w:lineRule="exact"/>
        <w:rPr>
          <w:sz w:val="20"/>
          <w:szCs w:val="20"/>
          <w:color w:val="auto"/>
        </w:rPr>
      </w:pPr>
    </w:p>
    <w:p>
      <w:pPr>
        <w:ind w:right="240" w:firstLine="332"/>
        <w:spacing w:after="0" w:line="306" w:lineRule="auto"/>
        <w:rPr>
          <w:sz w:val="20"/>
          <w:szCs w:val="20"/>
          <w:color w:val="auto"/>
        </w:rPr>
      </w:pPr>
      <w:r>
        <w:rPr>
          <w:rFonts w:ascii="Arial" w:cs="Arial" w:eastAsia="Arial" w:hAnsi="Arial"/>
          <w:sz w:val="15"/>
          <w:szCs w:val="15"/>
          <w:color w:val="auto"/>
        </w:rPr>
        <w:t>A majority of AbbVie's board of directors will be comprised of directors who are "independent" as defined by the rules of the NYSE and the Corporate Governance Guidelines to be adopted by the board. AbbVie will seek to have all of its non-management directors qualify as "independent" under these standards. AbbVie's board of directors is expected to establish categorical standards to assist it in making its determination of director independence. AbbVie expects these standards will provide that no director qualifies as "independent" unless the board of directors affirmatively determines that the director has no material relationship with the company or its subsidiaries (either directly or as a partner, shareholder or officer of an organization that has a relationship with the company or any of 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making this determination, the board of directors shall consider all relevant facts and circumstances, including the following standards:</w:t>
      </w:r>
    </w:p>
    <w:p>
      <w:pPr>
        <w:spacing w:after="0" w:line="237" w:lineRule="exact"/>
        <w:rPr>
          <w:sz w:val="20"/>
          <w:szCs w:val="20"/>
          <w:color w:val="auto"/>
        </w:rPr>
      </w:pPr>
    </w:p>
    <w:p>
      <w:pPr>
        <w:ind w:left="1060" w:hanging="531"/>
        <w:spacing w:after="0" w:line="282" w:lineRule="auto"/>
        <w:tabs>
          <w:tab w:leader="none" w:pos="10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director is not independent if the director is, or has been within the last three years, an employee of AbbVie or its subsidiaries, or an immediate family member is, or has been within the last three years, an executive officer of AbbVie or its subsidiaries;</w:t>
      </w:r>
    </w:p>
    <w:p>
      <w:pPr>
        <w:spacing w:after="0" w:line="196" w:lineRule="exact"/>
        <w:rPr>
          <w:rFonts w:ascii="Arial" w:cs="Arial" w:eastAsia="Arial" w:hAnsi="Arial"/>
          <w:sz w:val="17"/>
          <w:szCs w:val="17"/>
          <w:color w:val="auto"/>
        </w:rPr>
      </w:pPr>
    </w:p>
    <w:p>
      <w:pPr>
        <w:ind w:left="1060" w:right="40" w:hanging="531"/>
        <w:spacing w:after="0" w:line="287" w:lineRule="auto"/>
        <w:tabs>
          <w:tab w:leader="none" w:pos="10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director is not independent if the director has received, or has an immediate family member who has received, during any 12-month period within the last three years, more than $120,000 in direct compensation from AbbVie or its subsidiaries, other than director and committee fees and pension or other forms of deferred compensation for prior service (provided such compensation is not contingent in any way on continued service), and other than amounts received by an immediate family member for service as an employee (other than an executive officer);</w:t>
      </w:r>
    </w:p>
    <w:p>
      <w:pPr>
        <w:spacing w:after="0" w:line="181" w:lineRule="exact"/>
        <w:rPr>
          <w:rFonts w:ascii="Arial" w:cs="Arial" w:eastAsia="Arial" w:hAnsi="Arial"/>
          <w:sz w:val="16"/>
          <w:szCs w:val="16"/>
          <w:color w:val="auto"/>
        </w:rPr>
      </w:pPr>
    </w:p>
    <w:p>
      <w:pPr>
        <w:ind w:left="1060" w:right="220" w:hanging="531"/>
        <w:spacing w:after="0" w:line="287" w:lineRule="auto"/>
        <w:tabs>
          <w:tab w:leader="none" w:pos="10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director is not independent if (A) the director or an immediate family member is a current partner of a firm that is AbbVie's internal or external auditor; (B) the director is a current employee of such a firm; (C) the director has an immediate family member who is a current employee of such a firm and personally works on AbbVie's or its subsidiaries' audit; or (D) the director or an immediate family member was within the last three years a partner or employee of such a firm and personally worked on AbbVie or its subsidiaries' audit within that time;</w:t>
      </w:r>
    </w:p>
    <w:p>
      <w:pPr>
        <w:spacing w:after="0" w:line="181" w:lineRule="exact"/>
        <w:rPr>
          <w:rFonts w:ascii="Arial" w:cs="Arial" w:eastAsia="Arial" w:hAnsi="Arial"/>
          <w:sz w:val="16"/>
          <w:szCs w:val="16"/>
          <w:color w:val="auto"/>
        </w:rPr>
      </w:pPr>
    </w:p>
    <w:p>
      <w:pPr>
        <w:ind w:left="1060" w:right="60" w:hanging="531"/>
        <w:spacing w:after="0" w:line="270" w:lineRule="auto"/>
        <w:tabs>
          <w:tab w:leader="none" w:pos="10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director is not independent if the director or an immediate family member is, or has been within the last three years, employed as an executive officer of another company where any of the present executive officers of AbbVie or its subsidiaries at the same time serves or served on that company's compensation committee;</w:t>
      </w:r>
    </w:p>
    <w:p>
      <w:pPr>
        <w:spacing w:after="0" w:line="205" w:lineRule="exact"/>
        <w:rPr>
          <w:rFonts w:ascii="Arial" w:cs="Arial" w:eastAsia="Arial" w:hAnsi="Arial"/>
          <w:sz w:val="17"/>
          <w:szCs w:val="17"/>
          <w:color w:val="auto"/>
        </w:rPr>
      </w:pPr>
    </w:p>
    <w:p>
      <w:pPr>
        <w:ind w:left="1060" w:right="20" w:hanging="531"/>
        <w:spacing w:after="0" w:line="294" w:lineRule="auto"/>
        <w:tabs>
          <w:tab w:leader="none" w:pos="10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director is not independent if the director is a current employee, or an immediate family member is a current executive officer, of a company that has made payments to, or received payments from, AbbVie or its subsidiaries for property or services in an amount that, in any of the last three fiscal years, exceeds the greater of $1 million, or two percent of such other company's consolidated gross revenues; and</w:t>
      </w:r>
    </w:p>
    <w:p>
      <w:pPr>
        <w:spacing w:after="0" w:line="175"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director is not independent if the director is an executive officer of a charitable organization that received charitable contributions (other than matching contributions) from AbbVie and its subsidiaries in the preceding fiscal year that are in excess of the greater of $1 million or 2 percent of such charitable organization's consolidated gross revenues.</w:t>
      </w:r>
    </w:p>
    <w:p>
      <w:pPr>
        <w:spacing w:after="0" w:line="179"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board of directors will assess on a regular basis, and at least annually, the independence of directors and, based on the recommendation of the Nominations and Governance Committee, will make a determination as to which members are independent. References to "AbbVie" above include any subsidiary in a consolidated group with AbbVie. The terms "immediate family member" and "executive officer" above are expected to have the same meanings specified for such terms in the NYSE listing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Effective upon the completion of the separation, AbbVie's board of directors will have the following standing committees: an Executive Committee, an Audit Committee, a Nominations and Governance Committee, a Compensation Committee, and a Public Policy Committee.</w:t>
      </w:r>
    </w:p>
    <w:p>
      <w:pPr>
        <w:spacing w:after="0" w:line="170" w:lineRule="exact"/>
        <w:rPr>
          <w:sz w:val="20"/>
          <w:szCs w:val="20"/>
          <w:color w:val="auto"/>
        </w:rPr>
      </w:pPr>
    </w:p>
    <w:p>
      <w:pPr>
        <w:jc w:val="center"/>
        <w:ind w:right="160"/>
        <w:spacing w:after="0"/>
        <w:tabs>
          <w:tab w:leader="none" w:pos="140" w:val="left"/>
        </w:tabs>
        <w:rPr>
          <w:sz w:val="20"/>
          <w:szCs w:val="20"/>
          <w:color w:val="auto"/>
        </w:rPr>
      </w:pPr>
      <w:r>
        <w:rPr>
          <w:rFonts w:ascii="Arial" w:cs="Arial" w:eastAsia="Arial" w:hAnsi="Arial"/>
          <w:sz w:val="17"/>
          <w:szCs w:val="17"/>
          <w:i w:val="1"/>
          <w:iCs w:val="1"/>
          <w:color w:val="auto"/>
        </w:rPr>
        <w:t>Executive Committee.</w:t>
      </w:r>
      <w:r>
        <w:rPr>
          <w:sz w:val="20"/>
          <w:szCs w:val="20"/>
          <w:color w:val="auto"/>
        </w:rPr>
        <w:tab/>
      </w:r>
      <w:r>
        <w:rPr>
          <w:rFonts w:ascii="Arial" w:cs="Arial" w:eastAsia="Arial" w:hAnsi="Arial"/>
          <w:sz w:val="15"/>
          <w:szCs w:val="15"/>
          <w:color w:val="auto"/>
        </w:rPr>
        <w:t>Messrs. Gonzalez, Liddy, Roberts, and Tilton and Ms. Austin are expected to be the members of the board's Executive Committee.</w:t>
      </w:r>
    </w:p>
    <w:p>
      <w:pPr>
        <w:spacing w:after="0" w:line="2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Mr. Gonzalez is expected to be the Executive Committee Chairman. This committee will have the ability to exercise all the authority of the board in the management of AbbVie, except for matters expressly reserved by law for board action.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79"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Ms. Austin and Messrs. Burnside, Rapp, and Waddell are expected to be the members of the board's Audit Committee. Ms. Austin is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the Audit Committee Chairman. The board of directors is expected to determine that at least one member of the Audit Committee is an "audit committee financial expert" for purposes of the rules of the SEC. In addition, AbbVie expects that the board of directors will determine that each of the members of the Audit Committee will be independent, as defined by the rules of the NYSE, Section 10A(m)(3) of the Exchange Act, and in accordance with the company's Corporate Governance Guidelines. The Audit Committee will meet at least quarterly and will assist the board of directors in fulfilling its oversight responsibilities by reviewing and reporting to the board of directors on AbbVie's accounting and financial reporting practices and the audit process, the quality and integrity of the company's financial statements, the independent auditors' qualifications, independence, and performance, the performance of the company's internal audit function and internal auditors, and certain areas of legal and regulatory compliance.</w:t>
      </w:r>
    </w:p>
    <w:p>
      <w:pPr>
        <w:spacing w:after="0" w:line="177"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i w:val="1"/>
          <w:iCs w:val="1"/>
          <w:color w:val="auto"/>
        </w:rPr>
        <w:t xml:space="preserve">Nominations and Governance Committee. </w:t>
      </w:r>
      <w:r>
        <w:rPr>
          <w:rFonts w:ascii="Arial" w:cs="Arial" w:eastAsia="Arial" w:hAnsi="Arial"/>
          <w:sz w:val="17"/>
          <w:szCs w:val="17"/>
          <w:color w:val="auto"/>
        </w:rPr>
        <w:t>Messrs. Tilton, Alpern, Burnside, and Roberts are expected to be the members of the board's Nominations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 Mr. Tilton is expected to be the Nominations and Governance Committee Chairman. The board of directors is expected to determine that each of the members of the Nominations and Governance Committee will be independent, as defined by the rules of the NYSE and in accordance with the company's Corporate Governance Guidelines. The Nominations and Governance Committee will assist the board of directors in identifying individuals qualified to become members of the board of directors (consistent with the criteria approved by AbbVie's board of directors), recommending director candidates for AbbVie's board of directors and its committees, recommending to the board the persons to be elected as AbbVie's executive officers, developing and recommending Corporate Governance Guidelines to AbbVie's board of directors, serving as a point of contact for stockholders, and performing a leadership role in shaping AbbVie's corporate governance.</w:t>
      </w:r>
    </w:p>
    <w:p>
      <w:pPr>
        <w:spacing w:after="0" w:line="187"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Messrs. Liddy, Tilton, and Waddell and Ms. Austin are expected to be the members of the board's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Mr. Liddy is expected to be the Compensation Committee Chairman. The board of directors is expected to determine that each member of the Compensation Committee will be independent, as defined by the rules of the NYSE and in accordance with the company's Corporate Governance Guidelines. In addition, AbbVie expects that the members of the Compensation Committee will qualify as "non-employee directors" for purposes of Rule 16b-3 under the Exchange Act and as "outside directors" for purposes of Section 162(m) of the Code. The Compensation Committee will assist the board of directors in carrying out the board's responsibilities relating to the compensation of AbbVie's executive officers and directors. The Compensation Committee will annually review the compensation paid to the members of the board and give its recommendations to the full board regarding both the amount of director compensation that should be paid and the allocation of that compensation between equity-based awards and cash. In recommending director compensation, the Compensation Committee will take comparable director fees into account and review any arrangement that could be viewed as indirect director compensation. This committee will also review, approve, and administer the incentive compensation plans in which any executive officer of AbbVie participates and all of AbbVie's equity-based plans. It may delegate the responsibility to administer and make grants under these plans to management, except to the extent that such delegation would be inconsistent with applicable law or regulation or with the listing rules of the NYSE. The Compensation Committee will have the sole authority, under its charter, to select, retain, and/or terminate independent compensation advisors.</w:t>
      </w:r>
    </w:p>
    <w:p>
      <w:pPr>
        <w:spacing w:after="0" w:line="176" w:lineRule="exact"/>
        <w:rPr>
          <w:sz w:val="20"/>
          <w:szCs w:val="20"/>
          <w:color w:val="auto"/>
        </w:rPr>
      </w:pPr>
    </w:p>
    <w:p>
      <w:pPr>
        <w:ind w:right="420" w:firstLine="341"/>
        <w:spacing w:after="0" w:line="265" w:lineRule="auto"/>
        <w:rPr>
          <w:sz w:val="20"/>
          <w:szCs w:val="20"/>
          <w:color w:val="auto"/>
        </w:rPr>
      </w:pPr>
      <w:r>
        <w:rPr>
          <w:rFonts w:ascii="Arial" w:cs="Arial" w:eastAsia="Arial" w:hAnsi="Arial"/>
          <w:sz w:val="17"/>
          <w:szCs w:val="17"/>
          <w:i w:val="1"/>
          <w:iCs w:val="1"/>
          <w:color w:val="auto"/>
        </w:rPr>
        <w:t xml:space="preserve">Public Policy Committee. </w:t>
      </w:r>
      <w:r>
        <w:rPr>
          <w:rFonts w:ascii="Arial" w:cs="Arial" w:eastAsia="Arial" w:hAnsi="Arial"/>
          <w:sz w:val="17"/>
          <w:szCs w:val="17"/>
          <w:color w:val="auto"/>
        </w:rPr>
        <w:t>Messrs. Roberts, Alpern, Liddy, and Rapp are expected to be members of the board's Public Policy Committee. Mr. Roberts is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the Public Policy Committee Chairman. The board of directors is expected to determine that each member of the Public Policy Committee is independent, as defined by the rules of the NYSE and in accordance with the company's Corporate Governance Guidelines. The Public Policy Committee will be responsible for assisting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board of directors in fulfilling its oversight responsibility with respect to AbbVie's public policy, certain areas of legal and regulatory compliance, and governmental affairs and health care compliance issues that affect the company by discharging the responsibilities set forth in its charter.</w:t>
      </w:r>
    </w:p>
    <w:p>
      <w:pPr>
        <w:spacing w:after="0" w:line="170"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board of directors is expected to adopt a written charter for each of the Audit Committee, the Nominations and Governance Committee, the Compensation Committee, and the Public Policy Committee. These charters will be posted on AbbVie's website in connection with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During the company's fiscal year ended December 31, 2011, AbbVie was not an independent company, and did not have a compensation committee or any other committee serving a similar function. Decisions as to the compensation of those who currently serve as AbbVie's executive officers were made by Abbott, as described in the section of this information statement captioned "Compensation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Stockholder Recommendations for Director Nominees</w:t>
      </w:r>
    </w:p>
    <w:p>
      <w:pPr>
        <w:spacing w:after="0" w:line="224"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amended and restated by-laws will contain provisions that address the process by which a stockholder may nominate an individual to stand for election to the board of directors. AbbVie expects that the board of directors will adopt a policy concerning the evaluation of stockholder recommendations of board candidates by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Corporate Governance Guidelines</w:t>
      </w:r>
    </w:p>
    <w:p>
      <w:pPr>
        <w:spacing w:after="0" w:line="224"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board of directors is expected to adopt a set of Corporate Governance Guidelines in connection with the separation to assist it in guiding AbbVie's governance practices. These practices will be regularly re-evaluated by the Nominations and Governance Committee in light of changing circumstances in order to continue serving the company's best interests and the best interests of its stockholders.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Communicating with the Board of Directors</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company's Corporate Governance Guidelines will include procedures by which stockholders and other interested parties may communicate with AbbVie's board of directors by writing a letter to the chairman of the board, to the lead director, or to the independent directors c/o AbbVie, 1 North Waukegan Road, North Chicago, Illinois 60064. The general counsel and corporate secretary will regularly forward to the addressee all letters other than mass mailings, advertisements, and other materials not relevant to AbbVie's business. In addition, directors will regularly receive a log of all correspondence received by the company that is addressed to a member of the board and may request any correspondence on that log.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Qualification Standards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company's Corporate Governance Guidelines will provide that the Nominations and Governance Committee is responsible for reviewing with AbbVie's board of directors the appropriate skills and characteristics required of board members in the context of the makeup of the board of directors and developing criteria for identifying and evaluating board candidates.</w:t>
      </w:r>
    </w:p>
    <w:p>
      <w:pPr>
        <w:spacing w:after="0" w:line="179"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process that this committee will use to identify a nominee to serve as a member of the board of directors will depend on the qualities being sought. From time to time, AbbVie may engage an executive search firm to assist the committee in identifying individuals qualified to be board members. Board members should have backgrounds that when combined provide a portfolio of experience and knowledge that will serve AbbVie's governance and strategic needs. In the process of identifying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nominees to serve as a member of the board of directors, the Nominations and Governance Committee will consider the board's diversity of ethnicity, gender, and geography and assesses the effectiveness of the process in achieving that diversity. Board candidates will be considered on the basis of a range of criteria, including broad-based business knowledge and relationships, prominence and excellent reputations in their primary fields of endeavor, worldwide business perspective, and commitment to good corporate citizenship. The committee will also consider the individual's independence, judgment, integrity, and ability to commit sufficient time and attention to the activities of the board, as well as the absence of any potential conflicts with AbbVie's interests. Candidates should have demonstrated experience and ability that is relevant to the board of directors' oversight role with respect to AbbVie's business and affairs.</w:t>
      </w:r>
    </w:p>
    <w:p>
      <w:pPr>
        <w:spacing w:after="0" w:line="176" w:lineRule="exact"/>
        <w:rPr>
          <w:sz w:val="20"/>
          <w:szCs w:val="20"/>
          <w:color w:val="auto"/>
        </w:rPr>
      </w:pPr>
    </w:p>
    <w:p>
      <w:pPr>
        <w:jc w:val="both"/>
        <w:ind w:right="180" w:firstLine="338"/>
        <w:spacing w:after="0" w:line="270" w:lineRule="auto"/>
        <w:rPr>
          <w:sz w:val="20"/>
          <w:szCs w:val="20"/>
          <w:color w:val="auto"/>
        </w:rPr>
      </w:pPr>
      <w:r>
        <w:rPr>
          <w:rFonts w:ascii="Arial" w:cs="Arial" w:eastAsia="Arial" w:hAnsi="Arial"/>
          <w:sz w:val="17"/>
          <w:szCs w:val="17"/>
          <w:color w:val="auto"/>
        </w:rPr>
        <w:t>The Nominations and Governance Committee will consider the criteria described above in the context of an assessment of the perceived needs of the board of directors as a whole and seek to achieve diversity of occupational and personal backgrounds on the board. The board will be responsible for selecting candidates for election as directors based on the recommendation of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Lead Director</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lead director will facilitate communication with the board of directors and will preside over regularly conducted executive sessions of the independent directors or sessions where the chairman of the board is not present. It will be the role of the lead director to review and approve matters, such as agenda items, schedule sufficiency, and, where appropriate, information provided to other board members. The lead director will be chosen by and from the independent members of the board of directors, and will serve as the liaison between the chairman and the independent directors; however, all directors will be encouraged to consult with the chairman on each of the above topics as well. Mr. Tilton is expected to be named AbbVie's lead director. The lead director, and each of the other directors, will be expected to communicate regularly with the chairman and chief executive officer regarding appropriate agenda topics and other board related matters. The lead director also has the authority to call meetings of the independent directors and, if requested by major stockholders, ensures that he or she is available for consultation and direct communication.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Policies on Business Ethics; Chief Compliance Officer</w:t>
      </w:r>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connection with the separation, AbbVie will adopt a Code of Conduct that requires all its business activities to be conducted in compliance with laws, regulations, and ethical principles and values. All directors, officers, and employees of AbbVie will be required to read, understand, and abide by the requirements of the Code of Conduct.</w:t>
      </w:r>
    </w:p>
    <w:p>
      <w:pPr>
        <w:spacing w:after="0" w:line="179"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The Code of Conduct will be accessible on the company's website. Any waiver of the Code of Conduct for directors or executive officers may be made only by the Audit Committee. AbbVie will disclose any amendment to, or waiver from, a provision of the Code of Conduct for the principal executive officer, principal financial officer, principal accounting officer or controller, or persons performing similar functions, on the company's website within four business days following the date of the amendment or waiver. In addition, the company will disclose any waiver from the Code of Conduct for the other executive officers and for directors on the website.</w:t>
      </w:r>
    </w:p>
    <w:p>
      <w:pPr>
        <w:spacing w:after="0" w:line="187" w:lineRule="exact"/>
        <w:rPr>
          <w:sz w:val="20"/>
          <w:szCs w:val="20"/>
          <w:color w:val="auto"/>
        </w:rPr>
      </w:pPr>
    </w:p>
    <w:p>
      <w:pPr>
        <w:ind w:right="700" w:firstLine="332"/>
        <w:spacing w:after="0" w:line="282" w:lineRule="auto"/>
        <w:rPr>
          <w:sz w:val="20"/>
          <w:szCs w:val="20"/>
          <w:color w:val="auto"/>
        </w:rPr>
      </w:pPr>
      <w:r>
        <w:rPr>
          <w:rFonts w:ascii="Arial" w:cs="Arial" w:eastAsia="Arial" w:hAnsi="Arial"/>
          <w:sz w:val="17"/>
          <w:szCs w:val="17"/>
          <w:color w:val="auto"/>
        </w:rPr>
        <w:t>AbbVie expects to have a Chief Compliance Officer who will report to both the Chief Executive Officer and to the Public Policy Committee. The Chief Compliance Officer will be responsible for overseeing, administering, and monitoring AbbVie's Compliance Program.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Procedures for Treatment of Complaints Regarding Accounting, Internal Accounting Controls, and Auditing Matters</w:t>
      </w:r>
    </w:p>
    <w:p>
      <w:pPr>
        <w:spacing w:after="0" w:line="224"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In accordance with the Sarbanes-Oxley Act of 2002, AbbVie expects that its Audit Committee will adopt procedures for the receipt, retention, and treatment of complaints regarding accounting, internal accounting controls, and auditing matters and to allow for the confidential, anonymous submission by employees and others of concerns regarding questionable accounting or auditing matters.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noted above, AbbVie is currently part of Abbott and not an independent company, and its Compensation Committee has not yet been constituted. Decisions as to the past compensation of those who currently serve as its officers have been made by Abbott. This Compensation Discussion and Analysis discusses these historical compensation practices and attempts to outline certain aspects of AbbVie's anticipated compensation structure for its senior executive officers following the separation. While AbbVie has discussed its anticipated programs and policies with the Compensation Committee of Abbott's board of directors (the Abbott Compensation Committee), they remain subject to the review and approval of AbbVie's own Compensation Committee.</w:t>
      </w:r>
    </w:p>
    <w:p>
      <w:pPr>
        <w:spacing w:after="0" w:line="174" w:lineRule="exact"/>
        <w:rPr>
          <w:sz w:val="20"/>
          <w:szCs w:val="20"/>
          <w:color w:val="auto"/>
        </w:rPr>
      </w:pPr>
    </w:p>
    <w:p>
      <w:pPr>
        <w:jc w:val="both"/>
        <w:ind w:right="480" w:firstLine="341"/>
        <w:spacing w:after="0" w:line="294" w:lineRule="auto"/>
        <w:rPr>
          <w:sz w:val="20"/>
          <w:szCs w:val="20"/>
          <w:color w:val="auto"/>
        </w:rPr>
      </w:pPr>
      <w:r>
        <w:rPr>
          <w:rFonts w:ascii="Arial" w:cs="Arial" w:eastAsia="Arial" w:hAnsi="Arial"/>
          <w:sz w:val="16"/>
          <w:szCs w:val="16"/>
          <w:color w:val="auto"/>
        </w:rPr>
        <w:t>For purposes of the following Compensation Discussion and Analysis and executive compensation disclosures, the individuals listed below are collectively referred to as AbbVie's "named executive officers." They are AbbVie's chief executive officer and chief financial officer, and its three most highly compensated executive officers (other than the chief executive officer and chief financial officer), based on 2011 compensation from Abbott.</w:t>
      </w:r>
    </w:p>
    <w:p>
      <w:pPr>
        <w:spacing w:after="0" w:line="176" w:lineRule="exact"/>
        <w:rPr>
          <w:sz w:val="20"/>
          <w:szCs w:val="20"/>
          <w:color w:val="auto"/>
        </w:rPr>
      </w:pPr>
    </w:p>
    <w:p>
      <w:pPr>
        <w:ind w:left="1060" w:right="1020" w:hanging="531"/>
        <w:spacing w:after="0" w:line="282"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Richard A. Gonzalez, AbbVie Chief Executive Officer. </w:t>
      </w:r>
      <w:r>
        <w:rPr>
          <w:rFonts w:ascii="Arial" w:cs="Arial" w:eastAsia="Arial" w:hAnsi="Arial"/>
          <w:sz w:val="17"/>
          <w:szCs w:val="17"/>
          <w:color w:val="auto"/>
        </w:rPr>
        <w:t>Prior to the separation, Mr. Gonzalez served as Abbott's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Group.</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 xml:space="preserve">William J. Chase, AbbVie Chief Financial Officer. </w:t>
      </w:r>
      <w:r>
        <w:rPr>
          <w:rFonts w:ascii="Arial" w:cs="Arial" w:eastAsia="Arial" w:hAnsi="Arial"/>
          <w:sz w:val="16"/>
          <w:szCs w:val="16"/>
          <w:color w:val="auto"/>
        </w:rPr>
        <w:t>Prior to the separation, Mr. Chase served as Abbott's Vice President, Licensing and Acquisitions.</w:t>
      </w:r>
    </w:p>
    <w:p>
      <w:pPr>
        <w:spacing w:after="0" w:line="248" w:lineRule="exact"/>
        <w:rPr>
          <w:rFonts w:ascii="Arial" w:cs="Arial" w:eastAsia="Arial" w:hAnsi="Arial"/>
          <w:sz w:val="16"/>
          <w:szCs w:val="16"/>
          <w:color w:val="auto"/>
        </w:rPr>
      </w:pPr>
    </w:p>
    <w:p>
      <w:pPr>
        <w:ind w:left="1060" w:right="380" w:hanging="531"/>
        <w:spacing w:after="0" w:line="282"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Laura J. Schumacher, AbbVie General Counsel and Executive Vice President, Business Development and External Affairs. </w:t>
      </w:r>
      <w:r>
        <w:rPr>
          <w:rFonts w:ascii="Arial" w:cs="Arial" w:eastAsia="Arial" w:hAnsi="Arial"/>
          <w:sz w:val="17"/>
          <w:szCs w:val="17"/>
          <w:color w:val="auto"/>
        </w:rPr>
        <w:t>Prior to the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Ms. Schumacher served as Abbott's Executive Vice President, General Counsel, and Corporate Secretary.</w:t>
      </w:r>
    </w:p>
    <w:p>
      <w:pPr>
        <w:spacing w:after="0" w:line="182" w:lineRule="exact"/>
        <w:rPr>
          <w:rFonts w:ascii="Arial" w:cs="Arial" w:eastAsia="Arial" w:hAnsi="Arial"/>
          <w:sz w:val="17"/>
          <w:szCs w:val="17"/>
          <w:color w:val="auto"/>
        </w:rPr>
      </w:pPr>
    </w:p>
    <w:p>
      <w:pPr>
        <w:ind w:left="1060" w:right="360" w:hanging="531"/>
        <w:spacing w:after="0" w:line="282"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Carlos Alban, AbbVie Executive Vice President, Global Commercial Operations. </w:t>
      </w:r>
      <w:r>
        <w:rPr>
          <w:rFonts w:ascii="Arial" w:cs="Arial" w:eastAsia="Arial" w:hAnsi="Arial"/>
          <w:sz w:val="17"/>
          <w:szCs w:val="17"/>
          <w:color w:val="auto"/>
        </w:rPr>
        <w:t>Prior to the separation, Mr. Alban served as Abbott's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Proprietary Pharmaceutical Products, Global Commercial Operations.</w:t>
      </w:r>
    </w:p>
    <w:p>
      <w:pPr>
        <w:spacing w:after="0" w:line="196" w:lineRule="exact"/>
        <w:rPr>
          <w:rFonts w:ascii="Arial" w:cs="Arial" w:eastAsia="Arial" w:hAnsi="Arial"/>
          <w:sz w:val="17"/>
          <w:szCs w:val="17"/>
          <w:color w:val="auto"/>
        </w:rPr>
      </w:pPr>
    </w:p>
    <w:p>
      <w:pPr>
        <w:ind w:left="1060" w:right="360" w:hanging="531"/>
        <w:spacing w:after="0" w:line="282"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John M. Leonard, M.D., AbbVie Senior Vice President, Chief Scientific Officer. </w:t>
      </w:r>
      <w:r>
        <w:rPr>
          <w:rFonts w:ascii="Arial" w:cs="Arial" w:eastAsia="Arial" w:hAnsi="Arial"/>
          <w:sz w:val="17"/>
          <w:szCs w:val="17"/>
          <w:color w:val="auto"/>
        </w:rPr>
        <w:t>Prior to the separation, Dr. Leonard served as Abbott's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Pharmaceuticals, Research and Development.</w:t>
      </w:r>
    </w:p>
    <w:p>
      <w:pPr>
        <w:spacing w:after="0" w:line="170"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Additional information about AbbVie's expected senior executive team following the separation is set forth in the section of this information statement captioned "Management—Executive Officers Following the Separation." Initially, AbbVie's compensation policies will be largely the same as those employed at Abbott. AbbVie's Compensation Committee will review these policies and practices, and, it is expected, will make adjustments to support AbbVie's strategies and to remain market competitive.</w:t>
      </w:r>
    </w:p>
    <w:p>
      <w:pPr>
        <w:spacing w:after="0" w:line="185"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sections of this Compensation Discussion and Analysis describe Abbott's compensation philosophy, policies and practices as they applied to the AbbVie named executive officers listed above during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Components of Pay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and the Abbott Compensation Committee have established a compensation philosophy that is designed to attract and retain executive officers whose talent and contributions sustain Abbott's profitable growth. The intent of this philosophy is to directly support achievement of Abbott's primary business strategies and goals, while also aligning executive officers' performance and rewards with shareholders' interests. Consequently, the vast majority of executive compensation at Abbott is performance-based.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There are four primary pay components that have formed Abbott's executive pay program as part of the Abbott organization: base pay, annual bonuses, long-term incentives, and benefits. Each serves complementary, but different, and specific, purposes.</w:t>
      </w:r>
    </w:p>
    <w:p>
      <w:pPr>
        <w:spacing w:after="0" w:line="170"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Setting appropriate levels of base pay ensures that Abbott can attract and retain a leadership team that will continue to meet Abbott's commitments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patients and sustain profitable growth for Abbott's shareholders. Talented executive officers have choices of where they work, and Abbott's base pay rates need to be competitive in the context of total compensation.</w:t>
      </w:r>
    </w:p>
    <w:p>
      <w:pPr>
        <w:spacing w:after="0" w:line="179"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Abbott's annual bonus (short-term incentive) program aims to align executive officers' interests directly with the annual operating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and leadership requirements of Abbott's business. It provides a direct link between executive officers' short-term incentives and Abbott's annual performance results through both measurable financial and operational performance and subjective assessments of strategic progress. Some goals, strategies, and leadership requirements may apply to all executive officers and, as such, may be corporate priorities that are shared by all Abbott executive officers in any given year (for example, earnings per share targets in 2011, as disclosed below). Certain measurable financial goals apply only to some executive officers, reflecting their specific areas of responsibility. Additionally, most executive officers are subject to strategic or leadership-oriented goals, which require qualitative, subjective assessment of their progress during the year. Finally, the process of determining annual bonus awards allows for the Abbott Compensation Committee's discretion, since many goals, especially for certain positions, cannot be reduced to formulaic, numerical targets, or anticipated in advance.</w:t>
      </w:r>
    </w:p>
    <w:p>
      <w:pPr>
        <w:spacing w:after="0" w:line="177"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By design, therefore, short-term incentives directly tie executive officers' pay with both Abbott and individual results while allowing for Abbott Compensation Committee discretion to address unforeseen developments. In the aggregate, short-term incentives should be paid roughly at target when goals are substantially met, below target if goals are not substantially met, and above target if goals are substantially exceeded.</w:t>
      </w:r>
    </w:p>
    <w:p>
      <w:pPr>
        <w:spacing w:after="0" w:line="179"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incentives serve two primary purposes: first, to directly align the largest component of executive officer pay with</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direct, long-term interests; and second, to help ensure continued performance success through effective focus and retention of executive talent. Executive officers' interests are directly aligned with those of Abbott shareholders in two ways—first, through direct stock ownership. Executive officers, as shareholders, benefit from the results they create for other shareholders. Second, the level of awards executive officers receive varies, by plan design and based on each executive officer's individual performance, as reviewed by the Abbott Compensation Committee. The Abbott Compensation Committee considers, among other things, measures that directly track shareholder returns or operating or strategic results which lead to the creation or loss of shareholder value. Awards are further differentiated based on each executive officer's specific contribution to long-term strategic results and leadership contribution. To achieve this outcome, Abbott grants non-qualified stock options, full-value performance based shares, and full-value shares of restricted stock, subject to vesting requirements.</w:t>
      </w:r>
    </w:p>
    <w:p>
      <w:pPr>
        <w:spacing w:after="0" w:line="163"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Historically, and in 2011, long-term incentives have comprised roughly two-thirds of total compensation for Abbott named executive officers. Accordingly, long-term incentive compensation represents a compelling and direct link between executive officers' interests and Abbott shareholder results.</w:t>
      </w:r>
    </w:p>
    <w:p>
      <w:pPr>
        <w:spacing w:after="0" w:line="14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As with all Abbott employees, Abbott executive officers receive certain employment and post-employment benefits. Benefits are an important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and capital preservation for all levels of employees. Benefits protect against the expense of unexpected catastrophic loss of health and/or earnings potential, and provide a means to save and accumulate for retirement or other post-employment needs.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AbbVie's Compensation Committee will establish the base pay of AbbVie's named executive officers after the separation. AbbVie expects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base pay, if any, will reflect factors such as each named executive officer's post-separation level of responsibility as well as market data for similar positions at comparable peer companies.</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i w:val="1"/>
          <w:iCs w:val="1"/>
          <w:color w:val="auto"/>
        </w:rPr>
        <w:t xml:space="preserve">Annual Bonus. </w:t>
      </w:r>
      <w:r>
        <w:rPr>
          <w:rFonts w:ascii="Arial" w:cs="Arial" w:eastAsia="Arial" w:hAnsi="Arial"/>
          <w:sz w:val="17"/>
          <w:szCs w:val="17"/>
          <w:color w:val="auto"/>
        </w:rPr>
        <w:t>In connection with the separation, AbbVie expects to adopt an annual incentive plan with terms to be determined by its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AbbVie expects that its Compensation Committee will establish performance goals based on an incentive structure that initially is similar to that which is in place at Abbott. AbbVie expects that the annual incentive targets for its named executive officers will be aligned with competitive market rates, based on peer company comparisons.</w:t>
      </w:r>
    </w:p>
    <w:p>
      <w:pPr>
        <w:spacing w:after="0" w:line="18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AbbVie intends to adopt, subject to the approval of Abbott prior to the separation, in its capacity as AbbVie's sole stockholder, the</w:t>
      </w:r>
      <w:r>
        <w:rPr>
          <w:rFonts w:ascii="Arial" w:cs="Arial" w:eastAsia="Arial" w:hAnsi="Arial"/>
          <w:sz w:val="15"/>
          <w:szCs w:val="15"/>
          <w:i w:val="1"/>
          <w:iCs w:val="1"/>
          <w:color w:val="auto"/>
        </w:rPr>
        <w:t xml:space="preserve"> </w:t>
      </w:r>
      <w:r>
        <w:rPr>
          <w:rFonts w:ascii="Arial" w:cs="Arial" w:eastAsia="Arial" w:hAnsi="Arial"/>
          <w:sz w:val="15"/>
          <w:szCs w:val="15"/>
          <w:color w:val="auto"/>
        </w:rPr>
        <w:t>AbbVie 2013 Incentive Stock Program ("AbbVie Incentive Stock Program") which AbbVie expects will be substantially similar to Abbott's 2009 Incentive Stock Program. The AbbVie Incentive Stock Program is described in greater detail in the section of this information statement captioned "Executive Compensation—AbbVie 2013 Incentive Stock Program." Target levels for long-term incentive compensation for named executive officers following the separation are expected to be set based on each named executive officer's post-separation level of responsibility, as well as market data for similar positions at comparable peer companies.</w:t>
      </w:r>
    </w:p>
    <w:p>
      <w:pPr>
        <w:spacing w:after="0" w:line="159"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AbbVie's Compensation Committee will review the benefits and perquisites that its named executive officers received in connection with their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with Abbott. AbbVie expects that it will initially provide benefits and perquisites similar to those provided by Abbott immediately prior to the separation.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Executive Pay Decisions Are Made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As noted above, the named executive officers have been participating in Abbott's executive compensation programs. The vast majority of pay decisions at Abbott are performance-based. Specific goals and targets are the foundation of Abbott's pay-for-performance process and this section describes how they apply to specific pay components. It is important to remember, however, that while Abbott's pay process is based on a comprehensive, multi-level review, it is not formulaic. Some goals can be measured objectively against predetermined financial results. Others take the form of the Abbott Compensation Committee's subjective assessment of success and progress against strategic objectives or leadership results, which cannot be scored by numeric or formulaic application of measurable criteria. Consequently, while final pay decisions are guided by some specific, objective measures, the Abbott Compensation Committee, in consultation with its independent compensation consultant, also considers, at both the Abbott company-wide level and the individual level, a combination of objective and subjective measures in the overall assessment of performance and the pay decisions that result from that assessment. Specifically, discussion of the decision making criteria for each component follows.</w:t>
      </w:r>
    </w:p>
    <w:p>
      <w:pPr>
        <w:spacing w:after="0" w:line="163"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i w:val="1"/>
          <w:iCs w:val="1"/>
          <w:color w:val="auto"/>
        </w:rPr>
        <w:t xml:space="preserve">Peer Group. </w:t>
      </w:r>
      <w:r>
        <w:rPr>
          <w:rFonts w:ascii="Arial" w:cs="Arial" w:eastAsia="Arial" w:hAnsi="Arial"/>
          <w:sz w:val="16"/>
          <w:szCs w:val="16"/>
          <w:color w:val="auto"/>
        </w:rPr>
        <w:t>To provide the appropriate context for executive pay decisions, the Abbott Compensation Committee, in consultation with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assesses market pay practices and compensation levels of two designated groups of high-profile companies. The Abbott Compensation Committee thoughtfully considers on an annual basis which companies should be included in the peer groups and believes the selected companies represent the most appropriate groups for comparison. In addition to competing for executive talent, the peer companies also maintain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complex business operations with significant worldwide reach. Abbott's comparison groups for setting targets for compensation include the following two worldwide reference groups:</w:t>
      </w:r>
    </w:p>
    <w:p>
      <w:pPr>
        <w:spacing w:after="0" w:line="183" w:lineRule="exact"/>
        <w:rPr>
          <w:sz w:val="20"/>
          <w:szCs w:val="20"/>
          <w:color w:val="auto"/>
        </w:rPr>
      </w:pPr>
    </w:p>
    <w:p>
      <w:pPr>
        <w:ind w:left="1060" w:right="260" w:hanging="531"/>
        <w:spacing w:after="0" w:line="282" w:lineRule="auto"/>
        <w:tabs>
          <w:tab w:leader="none" w:pos="10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Primarily, direct health care competitors. This group presently includes Amgen Inc., Bristol Myers Squibb Company, Eli Lilly and Company, Glaxo SmithKline plc, Johnson &amp; Johnson, Merck &amp; Company, Inc., Novartis AG, and Pfizer, Inc.</w:t>
      </w:r>
    </w:p>
    <w:p>
      <w:pPr>
        <w:spacing w:after="0" w:line="196"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Secondarily, in order to supplement performance and compensation data from Abbott's direct health care competitors, Abbott selects a group of worldwide, diversified high performing companies with a five-year average return on equity of 18 percent or higher that are similar to Abbott in terms of size and/or scope of operations. This group currently includes 3M Company, Bristol Myers Squibb Company, Caterpillar Inc., The Coca-Cola Company, Colgate Palmolive Company, General Dynamics Corporation, General Mills, Inc., H.J. Heinz Company, Kellogg Company, Kimberly Clark Corporation, McDonald's Corporation, Merck &amp; Company, Inc., PepsiCo, Inc., and Procter &amp; Gamble Co.</w:t>
      </w:r>
    </w:p>
    <w:p>
      <w:pPr>
        <w:spacing w:after="0" w:line="17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i w:val="1"/>
          <w:iCs w:val="1"/>
          <w:color w:val="auto"/>
        </w:rPr>
        <w:t xml:space="preserve">Base Pay. </w:t>
      </w:r>
      <w:r>
        <w:rPr>
          <w:rFonts w:ascii="Arial" w:cs="Arial" w:eastAsia="Arial" w:hAnsi="Arial"/>
          <w:sz w:val="15"/>
          <w:szCs w:val="15"/>
          <w:color w:val="auto"/>
        </w:rPr>
        <w:t>Base pay targets must be competitive with the target market from which talent is obtained. Generally, Abbott sets base pay targets in a manner that</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references the median of the health care competitor group as an initial benchmark, but allows for adjustment based upon secondary reference to the high-performing group. Specific pay rates, however, are based on an executive officer's profile, performance, experience, and unique skills, as well as upon consideration of internal equity with others at Abbott. Once the rate of pay is set in this manner, either at the time of hire or upon promotion or transfer, subsequent changes in pay, including salary increases when appropriate, are based on the executive officer's performance, the job he or she is performing or assuming, internal equity and Abbott's operating budget. In this regard, base pay is performance-based and is aligned with the individual's relative contribution and body of work.</w:t>
      </w:r>
    </w:p>
    <w:p>
      <w:pPr>
        <w:spacing w:after="0" w:line="162"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Messrs. Gonzalez and Alban, Ms. Schumacher, and Dr. Leonard participate in the 1998 Abbott Laboratories Performance Incentive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"PIP") and Mr. Chase participates in the 1986 Abbott Laboratories Management Incentive Program (the "MIP"). The PIP and the MIP are substantially similar except that the PIP is designed to comply with the requirements of Section 162(m) of the Internal Revenue Code of 1986 for performance-based compensation.</w:t>
      </w:r>
    </w:p>
    <w:p>
      <w:pPr>
        <w:spacing w:after="0" w:line="14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Each year, maximum award allocations for PIP participants as a percentage of consolidated net earnings are set. For 2011, the maximum award for the named executive officers was 0.075 percent of adjusted consolidated net earnings. Historically, and in 2011, the Abbott Compensation Committee exercised its discretion to deliver PIP awards that were below the maximum awards authorized by these levels. Under the MIP, target levels are established based on market practice and internal equity considerations. The target award for Mr. Chase was 80 percent of base salary.</w:t>
      </w:r>
    </w:p>
    <w:p>
      <w:pPr>
        <w:spacing w:after="0" w:line="185" w:lineRule="exact"/>
        <w:rPr>
          <w:sz w:val="20"/>
          <w:szCs w:val="20"/>
          <w:color w:val="auto"/>
        </w:rPr>
      </w:pPr>
    </w:p>
    <w:p>
      <w:pPr>
        <w:ind w:right="200" w:firstLine="332"/>
        <w:spacing w:after="0" w:line="315" w:lineRule="auto"/>
        <w:rPr>
          <w:sz w:val="20"/>
          <w:szCs w:val="20"/>
          <w:color w:val="auto"/>
        </w:rPr>
      </w:pPr>
      <w:r>
        <w:rPr>
          <w:rFonts w:ascii="Arial" w:cs="Arial" w:eastAsia="Arial" w:hAnsi="Arial"/>
          <w:sz w:val="16"/>
          <w:szCs w:val="16"/>
          <w:color w:val="auto"/>
        </w:rPr>
        <w:t>Assessments of performance against financial results take into account the impact of specified factors or events, and the appropriateness of these adjustments is reviewed annually. For a reconciliation of these adjustments to GAAP, see Exhibit 99.1 to Abbott's Form 8-K, filed on January 25, 2012.</w:t>
      </w:r>
    </w:p>
    <w:p>
      <w:pPr>
        <w:spacing w:after="0" w:line="146"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In making its determinations of the actual awards to participants, the Abbott Compensation Committee considers predetermined financial goals and individual goals, some of which are objective and quantifiable, and other strategic or leadership goals for which assessment is not solely dictated by numeric or formulaic applications of measurable criteria. Moreover, while each participant has pre-determined goals, the Abbott Compensation Committee also considers relative achievements, or developments (at Abbott, in the marketplace and in the world economy) that could not have been foreseen when individual goals were formulated. Goals specific to each named executive officer are described separately in this section under "—2011 Compensation Decisions—Historically—Goals."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01"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 targets at Abbott are driven by two primary factors: first, internal equity and the executive officer's relative</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 to Abbott's long-term success; and second, Abbott's performance in respect of both short- and long-term returns to shareholders, as well as relative performance against financial or operating measures that drive shareholder returns, and performance against strategic objectives, such as pipeline development or acquisitions (which may dilute returns in the short-term, but are, in the Abbott Compensation Committee's judgment, in the best long-term interests of Abbott and its shareholders). While long-term incentive awards may be awarded annually, the Abbott Compensation Committee's assessment includes one-, three- and five-year measures of a number of relative benchmarks, including total shareholder return, return on equity, return on net assets, and earnings per share growth. The results are compared both to those of Abbott's direct health care competitors and those of the high performance reference group mentioned earlier.</w:t>
      </w:r>
    </w:p>
    <w:p>
      <w:pPr>
        <w:spacing w:after="0" w:line="164" w:lineRule="exact"/>
        <w:rPr>
          <w:sz w:val="20"/>
          <w:szCs w:val="20"/>
          <w:color w:val="auto"/>
        </w:rPr>
      </w:pPr>
    </w:p>
    <w:p>
      <w:pPr>
        <w:jc w:val="both"/>
        <w:ind w:right="40" w:firstLine="338"/>
        <w:spacing w:after="0" w:line="263" w:lineRule="auto"/>
        <w:rPr>
          <w:sz w:val="20"/>
          <w:szCs w:val="20"/>
          <w:color w:val="auto"/>
        </w:rPr>
      </w:pPr>
      <w:r>
        <w:rPr>
          <w:rFonts w:ascii="Arial" w:cs="Arial" w:eastAsia="Arial" w:hAnsi="Arial"/>
          <w:sz w:val="17"/>
          <w:szCs w:val="17"/>
          <w:color w:val="auto"/>
        </w:rPr>
        <w:t>These long-term measures are all taken into consideration without specific weighting. In the aggregate, they provide the Abbott Compensation Committee with a relative performance rating of Abbott to peers over one-, three- and five-year periods. Then, starting with the independent compensation consultant's recommendations regarding target or reference levels of appropriate long-term incentive by individual, the Abbott Compensation Committee determines grants for each individual based on its objective and subjective assessment of performance, progress against strategic milestones, and environmental factors which affected the individual's or Abbott's performance.</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i w:val="1"/>
          <w:iCs w:val="1"/>
          <w:color w:val="auto"/>
        </w:rPr>
        <w:t xml:space="preserve">Long-Term Incentives—Equity Awards. </w:t>
      </w:r>
      <w:r>
        <w:rPr>
          <w:rFonts w:ascii="Arial" w:cs="Arial" w:eastAsia="Arial" w:hAnsi="Arial"/>
          <w:sz w:val="16"/>
          <w:szCs w:val="16"/>
          <w:color w:val="auto"/>
        </w:rPr>
        <w:t>Based on the Abbott Compensation Committee's assessment of performance, the goals of Abbott's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each individual's relative performance against his or her predetermined goals, current outstanding awards held by the named executive officers and the recommendation of its independent compensation consultant, the Abbott Compensation Committee delivered long-term incentive awards to the named executive officers that were intended to, in the aggregate, reflect performance at the median of the Abbott health care peer comparison group.</w:t>
      </w:r>
    </w:p>
    <w:p>
      <w:pPr>
        <w:spacing w:after="0" w:line="169"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Applying these standards, the Abbott Compensation Committee determined the value of long-term equity awards for the named executive officers and made the awards reported in the Summary Compensation Table below. Further, the Abbott Compensation Committee determined, in 2011, based on market practice, advice from its independent compensation consultant and in consideration of the recommendations of institutional shareholders, that the long-term incentive award for the named executive officers should be in the form of 25 percent stock options and 75 percent performance-vesting shares.</w:t>
      </w:r>
    </w:p>
    <w:p>
      <w:pPr>
        <w:spacing w:after="0" w:line="169"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Abbott's policy with respect to annual equity awards for all employees, including the named executive officers, is to grant the award and set the grant price at the same time each year, at the Abbott Compensation Committee's regularly scheduled February meeting. These meetings generally are the third Friday of February and their dates are scheduled two years in advance. In 2011, the annual grant was dated and the grant price set on February 18th. The historical practice for setting the grant price is to average the highest and lowest trading price of a common share on the date of the grant (rounded up to the next even penny). The grant price for the 2011 annual grant was $46.60. The high, low, and closing prices of an Abbott common share on February 18, 2011 were $46.89, $46.28 and $46.88, respectively. One-third of the 2011 annual grant to the named executive officers vested in February 2012.</w:t>
      </w:r>
    </w:p>
    <w:p>
      <w:pPr>
        <w:spacing w:after="0" w:line="176"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In establishing criteria for performance-vesting shares, the Abbott Compensation Committee considered the recommendation of its independent compensation consultant, and the fact that the secondary comparison of high-performance companies is currently defined by five-year average return on equity of 18 percent or greater.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Accordingly, performance-based stock awards granted in 2011 at Abbott will be earned (vested) over a period of up to five years, with not more than one-third of the award vesting in any one year, dependent upon Abbott achieving an annual return on equity threshold of 18 percent from continuing operations adjusted for specified items per the quarterly earnings releases (which is currently above the median of Abbott's Standard Industrial Classification peer group). If the thresholds are met in three of the five years, 100 percent of the performance shares will vest. If the thresholds are missed in all five years, 100 percent of the performance shares will be forfeited. Outstanding shares of restricted stock receive dividends at the same rate as all other shareholders.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AbbVie expects that the executive compensation programs it initially adopts will be similar to those in place at Abbott immediately prior to the separation. Following the separation, AbbVie's Compensation Committee will continue to consider and develop AbbVie's compensation structure, practices, and procedures in order to effectively meet the company's business needs and goals.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Compensation Decisions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i w:val="1"/>
          <w:iCs w:val="1"/>
          <w:color w:val="auto"/>
        </w:rPr>
        <w:t xml:space="preserve">Goals. </w:t>
      </w:r>
      <w:r>
        <w:rPr>
          <w:rFonts w:ascii="Arial" w:cs="Arial" w:eastAsia="Arial" w:hAnsi="Arial"/>
          <w:sz w:val="17"/>
          <w:szCs w:val="17"/>
          <w:color w:val="auto"/>
        </w:rPr>
        <w:t>Abbott's payment of annual bonuses to each of its named executive officers is subject to the achievement of financial and other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described below with respect to the 2011 fiscal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Financial Goals</w:t>
      </w:r>
    </w:p>
    <w:p>
      <w:pPr>
        <w:spacing w:after="0" w:line="224"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color w:val="auto"/>
        </w:rPr>
        <w:t>Each officer carried a financial goal of Adjusted Diluted EPS that comprised 20% of his or her total goals. In addition to EPS, officers had other financial goals specific to each officer's area of responsibility. The process of determining annual bonus awards allows for the Abbott Compensation Committee's discretion, since many goals cannot be reduced to formulaic, numerical targets, or anticipated in advance. The following comprised the remainder of the financial goals, considered in the aggregate, in determining the officer's bonus. In 2011, Messrs. Gonzalez and Alban and Dr. Leonard in their leadership roles in the proprietary pharmaceuticals business carried sales and profitability goals for that business, with those results reflected in the exhibit below. Mr. Alban carried additional key responsibilities including the continued commercialization and profitability of the global proprietary pharmaceuticals business, and achieving global sales targets for HUMIRA. Mr. Chase, as head of</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licensing and acquisitions in 2011, had financial goals related to Abbott's acquisition strategy, which included profit and revenue support, and the securing of licensing arrangements.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Goal and Expected Result</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Results Achieved</w:t>
            </w:r>
          </w:p>
        </w:tc>
        <w:tc>
          <w:tcPr>
            <w:tcW w:w="0" w:type="dxa"/>
            <w:vAlign w:val="bottom"/>
          </w:tcPr>
          <w:p>
            <w:pPr>
              <w:spacing w:after="0"/>
              <w:rPr>
                <w:sz w:val="1"/>
                <w:szCs w:val="1"/>
                <w:color w:val="auto"/>
              </w:rPr>
            </w:pPr>
          </w:p>
        </w:tc>
      </w:tr>
      <w:tr>
        <w:trPr>
          <w:trHeight w:val="194"/>
        </w:trPr>
        <w:tc>
          <w:tcPr>
            <w:tcW w:w="1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Richard A.</w:t>
            </w:r>
          </w:p>
        </w:tc>
        <w:tc>
          <w:tcPr>
            <w:tcW w:w="2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Gonzalez</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Adjusted Incremental Division Margin of $37MM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Achieved—$37MM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8"/>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Schumacher</w:t>
            </w: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Carlos Alban</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C.</w:t>
            </w:r>
          </w:p>
        </w:tc>
        <w:tc>
          <w:tcPr>
            <w:tcW w:w="4900" w:type="dxa"/>
            <w:vAlign w:val="bottom"/>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C.</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D.</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D.</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Achieved—$17,138MM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$17,225MM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E.</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Operating</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E.</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Achieved—$7,119MM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Margin of $7,115MM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F.</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Plan Gross Margin of 76.5%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F.</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Achieved—77.3%</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G.</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Humira Sales of $7,999MM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G.</w:t>
            </w:r>
          </w:p>
        </w:tc>
        <w:tc>
          <w:tcPr>
            <w:tcW w:w="2360" w:type="dxa"/>
            <w:vAlign w:val="bottom"/>
          </w:tcPr>
          <w:p>
            <w:pPr>
              <w:ind w:left="120"/>
              <w:spacing w:after="0"/>
              <w:rPr>
                <w:sz w:val="20"/>
                <w:szCs w:val="20"/>
                <w:color w:val="auto"/>
              </w:rPr>
            </w:pPr>
            <w:r>
              <w:rPr>
                <w:rFonts w:ascii="Arial" w:cs="Arial" w:eastAsia="Arial" w:hAnsi="Arial"/>
                <w:sz w:val="17"/>
                <w:szCs w:val="17"/>
                <w:color w:val="auto"/>
              </w:rPr>
              <w:t>Mostly Achieved—$7,948MM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Leonard</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Achieve Plan Gross Margin of 70.0%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Goals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Richard A. Gonzalez. </w:t>
      </w:r>
      <w:r>
        <w:rPr>
          <w:rFonts w:ascii="Arial" w:cs="Arial" w:eastAsia="Arial" w:hAnsi="Arial"/>
          <w:sz w:val="17"/>
          <w:szCs w:val="17"/>
          <w:color w:val="auto"/>
        </w:rPr>
        <w:t>Develop comprehensive and strategic actions for key brands; meet acquisition, in-license and partnership milestones and launch first wave</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products within approved timeframe; secure key strategic high quality pipeline assets for sourced innovation by December 31, 2011, either in-licensed product(s) or business acquisitions; focus on change management initiatives, collaboration and communication of division strategy, succession planning, upgrading rewards and recognition programs and leadership development program.</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Gonzalez achieved the above goals in all material aspects.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i w:val="1"/>
          <w:iCs w:val="1"/>
          <w:color w:val="auto"/>
        </w:rPr>
        <w:t xml:space="preserve">William J. Chase. </w:t>
      </w:r>
      <w:r>
        <w:rPr>
          <w:rFonts w:ascii="Arial" w:cs="Arial" w:eastAsia="Arial" w:hAnsi="Arial"/>
          <w:sz w:val="17"/>
          <w:szCs w:val="17"/>
          <w:color w:val="auto"/>
        </w:rPr>
        <w:t>Achieve proprietary pharmaceutical pipeline enhancement objectives; key plans for expansion in important emerging markets; acquisition, in-license and partnership milestones in the pharmaceuticals and non-pharmaceuticals businesses.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Chase achieved the above goals in all material aspects except for the proprietary pharmaceutical pipeline goal, which was mostly achieved.</w:t>
      </w:r>
    </w:p>
    <w:p>
      <w:pPr>
        <w:spacing w:after="0" w:line="224" w:lineRule="exact"/>
        <w:rPr>
          <w:sz w:val="20"/>
          <w:szCs w:val="20"/>
          <w:color w:val="auto"/>
        </w:rPr>
      </w:pPr>
    </w:p>
    <w:p>
      <w:pPr>
        <w:ind w:right="480" w:firstLine="341"/>
        <w:spacing w:after="0" w:line="352" w:lineRule="auto"/>
        <w:rPr>
          <w:sz w:val="20"/>
          <w:szCs w:val="20"/>
          <w:color w:val="auto"/>
        </w:rPr>
      </w:pPr>
      <w:r>
        <w:rPr>
          <w:rFonts w:ascii="Arial" w:cs="Arial" w:eastAsia="Arial" w:hAnsi="Arial"/>
          <w:sz w:val="15"/>
          <w:szCs w:val="15"/>
          <w:i w:val="1"/>
          <w:iCs w:val="1"/>
          <w:color w:val="auto"/>
        </w:rPr>
        <w:t xml:space="preserve">Laura J. Schumacher. </w:t>
      </w:r>
      <w:r>
        <w:rPr>
          <w:rFonts w:ascii="Arial" w:cs="Arial" w:eastAsia="Arial" w:hAnsi="Arial"/>
          <w:sz w:val="15"/>
          <w:szCs w:val="15"/>
          <w:color w:val="auto"/>
        </w:rPr>
        <w:t>Successfully resolve key intellectual property litigation; resolve significant commercial litigation matters or investigations;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proprietary pharmaceutical pipeline enhancement objectives; achieve key compliance initiatives to ensure Abbott protects reputation and shareholder value.</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Ms. Schumacher achieved the above goals in all material aspects.</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i w:val="1"/>
          <w:iCs w:val="1"/>
          <w:color w:val="auto"/>
        </w:rPr>
        <w:t xml:space="preserve">Carlos Alban. </w:t>
      </w:r>
      <w:r>
        <w:rPr>
          <w:rFonts w:ascii="Arial" w:cs="Arial" w:eastAsia="Arial" w:hAnsi="Arial"/>
          <w:sz w:val="17"/>
          <w:szCs w:val="17"/>
          <w:color w:val="auto"/>
        </w:rPr>
        <w:t>Achieve strategic objectives for Pharmaceutical Products division including commercial strategies, organizational structure,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Alban achieved the above goals in all material aspects.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i w:val="1"/>
          <w:iCs w:val="1"/>
          <w:color w:val="auto"/>
        </w:rPr>
        <w:t xml:space="preserve">John M. Leonard, M.D. </w:t>
      </w:r>
      <w:r>
        <w:rPr>
          <w:rFonts w:ascii="Arial" w:cs="Arial" w:eastAsia="Arial" w:hAnsi="Arial"/>
          <w:sz w:val="17"/>
          <w:szCs w:val="17"/>
          <w:color w:val="auto"/>
        </w:rPr>
        <w:t>Secure key strategic high quality pipeline assets for sources innovation by December 31, 2011, either in-licensed product(s) or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achieve targeted goal for advancement of pipeline assets and regulatory approval; achieve key governance and compliance initiatives; focus on change management initiatives and leadership development.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Dr. Leonard achieved some strategic and compliance goals, but certain pipeline goals were not achieved.</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i w:val="1"/>
          <w:iCs w:val="1"/>
          <w:color w:val="auto"/>
        </w:rPr>
        <w:t xml:space="preserve">Goal Performance. </w:t>
      </w:r>
      <w:r>
        <w:rPr>
          <w:rFonts w:ascii="Arial" w:cs="Arial" w:eastAsia="Arial" w:hAnsi="Arial"/>
          <w:sz w:val="15"/>
          <w:szCs w:val="15"/>
          <w:color w:val="auto"/>
        </w:rPr>
        <w:t>The individual goals described above are determined at the beginning of the year as part of Abbott's annual performance and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process. With respect to PIP participants: the Abbott Compensation Committee considers, both at Abbott and at the individual level, achievement with respect to these goals, as well as the performance of the individual overall with respect to all matters not specifically defined in the predetermined goals, including leadership competencies and other individual contributions to Abbott performance on a qualitative basis. Additionally, the Abbott Compensation Committee may also consider unforeseen circumstances or developments (in Abbott, the marketplace, and/or the world economy) that may have affected performance.</w:t>
      </w:r>
    </w:p>
    <w:p>
      <w:pPr>
        <w:spacing w:after="0" w:line="15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each participant, a target bonus is set as a percentage of base salary. Actual PIP bonuses were based on a comprehensive review of individual and corporate performance by the Abbott Compensation Committee and its independent compensation consultant.</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 determine each such annual bonus, the Abbott Compensation Committee considered the executive officer's target bonus, expressed as a percentage of base pay, and made its final determination of the appropriate award at, above or below the target, considering all of these factors, in consultation with its independent compensation consultant. While the review is comprehensive, it is not solely formulaic.</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each case, for all of Abbott's named executive officers, there were multiple levels of review of the proposed award. For Messrs. Gonzalez and Alban,</w:t>
      </w:r>
    </w:p>
    <w:p>
      <w:pPr>
        <w:spacing w:after="0" w:line="3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Ms. Schumacher, and Dr. Leonard, the Abbott chief executive officer, the Abbott Compensation Committee, and the independent compensation consultant reviewed the proposals.</w:t>
      </w:r>
    </w:p>
    <w:p>
      <w:pPr>
        <w:spacing w:after="0" w:line="175"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While Abbott's overall merit increase budget in the United States was 3 percent in 2011, Abbott management recommended, and the Abbott Compensation Committee approved, in consideration of general market and business conditions, that all Abbott officers, including named executive officers, would not receive a merit increase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Individual Awards</w:t>
      </w:r>
    </w:p>
    <w:p>
      <w:pPr>
        <w:spacing w:after="0" w:line="224" w:lineRule="exact"/>
        <w:rPr>
          <w:sz w:val="20"/>
          <w:szCs w:val="20"/>
          <w:color w:val="auto"/>
        </w:rPr>
      </w:pPr>
    </w:p>
    <w:p>
      <w:pPr>
        <w:ind w:right="80" w:firstLine="341"/>
        <w:spacing w:after="0" w:line="352" w:lineRule="auto"/>
        <w:rPr>
          <w:sz w:val="20"/>
          <w:szCs w:val="20"/>
          <w:color w:val="auto"/>
        </w:rPr>
      </w:pPr>
      <w:r>
        <w:rPr>
          <w:rFonts w:ascii="Arial" w:cs="Arial" w:eastAsia="Arial" w:hAnsi="Arial"/>
          <w:sz w:val="15"/>
          <w:szCs w:val="15"/>
          <w:i w:val="1"/>
          <w:iCs w:val="1"/>
          <w:color w:val="auto"/>
        </w:rPr>
        <w:t xml:space="preserve">Richard A. Gonzalez. </w:t>
      </w:r>
      <w:r>
        <w:rPr>
          <w:rFonts w:ascii="Arial" w:cs="Arial" w:eastAsia="Arial" w:hAnsi="Arial"/>
          <w:sz w:val="15"/>
          <w:szCs w:val="15"/>
          <w:color w:val="auto"/>
        </w:rPr>
        <w:t>Effective February 17, 2012, Mr. Gonzalez was awarded a bonus of $1,230,000, which was above his target bonus of 105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55,100 stock options and a 39,200 share performance-vesting restricted stock award.</w:t>
      </w:r>
    </w:p>
    <w:p>
      <w:pPr>
        <w:spacing w:after="0" w:line="123"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7"/>
          <w:szCs w:val="17"/>
          <w:i w:val="1"/>
          <w:iCs w:val="1"/>
          <w:color w:val="auto"/>
        </w:rPr>
        <w:t>William J. Chase.</w:t>
      </w:r>
      <w:r>
        <w:rPr>
          <w:sz w:val="20"/>
          <w:szCs w:val="20"/>
          <w:color w:val="auto"/>
        </w:rPr>
        <w:tab/>
      </w:r>
      <w:r>
        <w:rPr>
          <w:rFonts w:ascii="Arial" w:cs="Arial" w:eastAsia="Arial" w:hAnsi="Arial"/>
          <w:sz w:val="15"/>
          <w:szCs w:val="15"/>
          <w:color w:val="auto"/>
        </w:rPr>
        <w:t>Effective February 17, 2012, Mr. Chase was awarded a bonus of $330,000, which was above his target bonus of 80 percent of base pay.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18, 2011, he received long-term incentives, including 19,000 stock options and a 13,500 share performance-vesting restricted stock award.</w:t>
      </w:r>
    </w:p>
    <w:p>
      <w:pPr>
        <w:spacing w:after="0" w:line="229"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i w:val="1"/>
          <w:iCs w:val="1"/>
          <w:color w:val="auto"/>
        </w:rPr>
        <w:t xml:space="preserve">Laura J. Schumacher. </w:t>
      </w:r>
      <w:r>
        <w:rPr>
          <w:rFonts w:ascii="Arial" w:cs="Arial" w:eastAsia="Arial" w:hAnsi="Arial"/>
          <w:sz w:val="17"/>
          <w:szCs w:val="17"/>
          <w:color w:val="auto"/>
        </w:rPr>
        <w:t>Effective February 17, 2012, Ms. Schumacher was awarded a bonus of $1,180,000, which was above her target bonus of 110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base pay. Effective February 18, 2011, she received long-term incentives, including 57,500 stock options and a 40,900 share performance-vesting restricted stock award.</w:t>
      </w:r>
    </w:p>
    <w:p>
      <w:pPr>
        <w:spacing w:after="0" w:line="179"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i w:val="1"/>
          <w:iCs w:val="1"/>
          <w:color w:val="auto"/>
        </w:rPr>
        <w:t xml:space="preserve">Carlos Alban. </w:t>
      </w:r>
      <w:r>
        <w:rPr>
          <w:rFonts w:ascii="Arial" w:cs="Arial" w:eastAsia="Arial" w:hAnsi="Arial"/>
          <w:sz w:val="15"/>
          <w:szCs w:val="15"/>
          <w:color w:val="auto"/>
        </w:rPr>
        <w:t>Effective February 17, 2012, Mr. Alban was awarded a bonus of $610,000, which was at his target bonus of 100 percent of base pay.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18, 2011, he received long-term incentives, including 45,800 stock options and a 32,500 share performance-vesting restricted stock award.</w:t>
      </w:r>
    </w:p>
    <w:p>
      <w:pPr>
        <w:spacing w:after="0" w:line="123" w:lineRule="exact"/>
        <w:rPr>
          <w:sz w:val="20"/>
          <w:szCs w:val="20"/>
          <w:color w:val="auto"/>
        </w:rPr>
      </w:pPr>
    </w:p>
    <w:p>
      <w:pPr>
        <w:ind w:right="220" w:firstLine="341"/>
        <w:spacing w:after="0" w:line="352" w:lineRule="auto"/>
        <w:rPr>
          <w:sz w:val="20"/>
          <w:szCs w:val="20"/>
          <w:color w:val="auto"/>
        </w:rPr>
      </w:pPr>
      <w:r>
        <w:rPr>
          <w:rFonts w:ascii="Arial" w:cs="Arial" w:eastAsia="Arial" w:hAnsi="Arial"/>
          <w:sz w:val="15"/>
          <w:szCs w:val="15"/>
          <w:i w:val="1"/>
          <w:iCs w:val="1"/>
          <w:color w:val="auto"/>
        </w:rPr>
        <w:t xml:space="preserve">John M. Leonard, M.D. </w:t>
      </w:r>
      <w:r>
        <w:rPr>
          <w:rFonts w:ascii="Arial" w:cs="Arial" w:eastAsia="Arial" w:hAnsi="Arial"/>
          <w:sz w:val="15"/>
          <w:szCs w:val="15"/>
          <w:color w:val="auto"/>
        </w:rPr>
        <w:t>Effective February 17, 2012, Dr. Leonard was awarded a bonus of $475,500, which was below his target bonus of 90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31,200 stock options and a 22,200 share performance-vesting restricted stock award.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expects that its Compensation Committee will develop a process for establishing financial and non-financial performance goals that initially will be similar to that of Abbott.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Post-Termination and Other Benefits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Each of the benefits described below was chosen to support Abbott's objective of providing a total competitive pay program. Individual benefits do not directly affect decisions regarding other benefits or pay components, except to the extent that all benefits and pay components must, in aggregate, be competitive, as previously discussed. Mr. Gonzalez, who had retired from Abbott in 2007, returned to work at Abbott in 2009. Upon his initial return to work at Abbott in 2009, and upon his interim appointment as Executive Vice President, Pharmaceutical Products in 2010, Mr. Gonzalez did not resume participation in any of Abbott's employee benefits plans for active employees. Currently, he continues to receive Abbott retiree benefits, including pension and retiree health care benefits.</w:t>
      </w:r>
    </w:p>
    <w:p>
      <w:pPr>
        <w:spacing w:after="0" w:line="159"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i w:val="1"/>
          <w:iCs w:val="1"/>
          <w:color w:val="auto"/>
        </w:rPr>
        <w:t xml:space="preserve">Retirement Benefits. </w:t>
      </w:r>
      <w:r>
        <w:rPr>
          <w:rFonts w:ascii="Arial" w:cs="Arial" w:eastAsia="Arial" w:hAnsi="Arial"/>
          <w:sz w:val="15"/>
          <w:szCs w:val="15"/>
          <w:color w:val="auto"/>
        </w:rPr>
        <w:t>The named executive officers participate in two Abbott-sponsored defined benefit plans: the Abbott Laboratories Annuity Retirement Plan</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Abbott Laboratories Supplemental Pension Plan. As stated above, Mr. Gonzalez was not, as of December 31, 2011, accruing any additional benefits under these Abbott plans. These plans are described in greater detail in the section of this information statement captioned "Executive Compensation—Pension Benefits."</w:t>
      </w:r>
    </w:p>
    <w:p>
      <w:pPr>
        <w:spacing w:after="0" w:line="145"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Since the named executive officers' Abbott Supplemental Pension Plan benefits cannot be secured in a manner similar to tax-qualified plans, the assets of which are held in trust, the named executive officers receive an annual cash payment equal to the increase in present value of their Supplemental Pension Plan benefit. Named executive officers have the option of depositing these annual payments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an individually established grantor trust, net of tax withholdings. Deposited amounts may be credited with the difference between the named executive officer's actual annual trust earnings and the rate used to calculate trust funding (currently 8 percent). Amounts deposited in the individual trusts are not tax deferred. Since amounts contributed to the trust have already been taxed, Abbott remits the tax owed on the income earned by the trust or any company adjustment paid to the trust, thus preserving the parity of the benefit to the benefits payable under the Annuity Retirement Plan. The manner in which the grantor trust is to be distributed to an officer upon retirement from Abbott generally follows the manner elected by the named executive officer under the Annuity Retirement Plan. Should a named executive officer (or the named executive officer's spouse, depending upon the pension distribution method elected by the officer under the Annuity Retirement Plan) live beyond the actuarial life expectancy age used to determine the Supplemental Pension Plan benefit and therefore exhaust the trust balance, the Supplemental Pension Plan benefit will be paid to the named executive officer by Abbott.</w:t>
      </w:r>
    </w:p>
    <w:p>
      <w:pPr>
        <w:spacing w:after="0" w:line="177"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named executive officers, like all U.S. Abbott employees, are eligible to defer a portion of their annual base salary, on a pre-tax</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Abbott's qualified 401(k) plan, up to the IRS contribution limits. Named executive officers are also eligible to defer up to 18 percent of their base salary, less contributions to the 401(k) plan, to a non-qualified plan. All U.S. Abbott employees may defer up to 18 percent as well, subject to IRS limits. One hundred percent of annual incentive awards earned under the PIP and MIP are also eligible for deferral to a non-qualified plan. Named executive officers may defer these amounts to unfunded book accounts or choose to have the amounts paid in cash on a current basis and deposited into individually established grantor trusts, net of tax withholdings. These amounts are credited annually with earnings equivalent to the average prime rate over the previous thirteen months plus 2.25 percent. Amounts deposited in the individual trusts are not tax deferred. Since amounts contributed to the trusts have already been taxed, Abbott remits the tax owed on the income earned by the trusts or any Abbott adjustment paid to the trusts, thus preserving the parity of the benefit to the benefits payable under the qualified 401(k) plan or the PIP or MIP, as applicable. The named executive officers elect the manner in which the assets held in their grantor trusts will be distributed to them upon retirement or other separation from services to Abbott.</w:t>
      </w:r>
    </w:p>
    <w:p>
      <w:pPr>
        <w:spacing w:after="0" w:line="176"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i w:val="1"/>
          <w:iCs w:val="1"/>
          <w:color w:val="auto"/>
        </w:rPr>
        <w:t xml:space="preserve">Change in Control Arrangements. </w:t>
      </w:r>
      <w:r>
        <w:rPr>
          <w:rFonts w:ascii="Arial" w:cs="Arial" w:eastAsia="Arial" w:hAnsi="Arial"/>
          <w:sz w:val="17"/>
          <w:szCs w:val="17"/>
          <w:color w:val="auto"/>
        </w:rPr>
        <w:t>Mr. Gonzalez is not party to a change in control agreement with Abbott, and Abbott currently is not granting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agreements to new executive officers. Messrs. Alban and Chase, Ms. Schumacher, and Dr. Leonard are party to change in control agreements with Abbott that reflect past contractual obligations. The purpose of these agreements is to aid in retention and recruitment, encourage continued attention and dedication to assigned duties during periods involving a possible change in control of Abbott and protect earned benefits against adverse changes resulting from a change in control. The level of payments provided under the agreements is established to be consistent with market practice as confirmed by data provided to the Abbott Compensation Committee by its independent compensation consultant. The separation is not deemed a change in control under any of these agreements. These arrangements are described in greater detail in the section of this information statement captioned "Executive Compensation—Potential Payments on Termination or Change of Control."</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Financial Planning. </w:t>
      </w:r>
      <w:r>
        <w:rPr>
          <w:rFonts w:ascii="Arial" w:cs="Arial" w:eastAsia="Arial" w:hAnsi="Arial"/>
          <w:sz w:val="17"/>
          <w:szCs w:val="17"/>
          <w:color w:val="auto"/>
        </w:rPr>
        <w:t>Ms. Schumacher, Mr. Alban, and Dr. Leonard are eligible for up to $10,000, and Mr. Chase is eligible for up to $6,500, of annual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estate planning advice, tax preparation and general financial planning fees. If one of these officers chooses to utilize this benefit, fees for services received up to the annual allocation are paid by Abbott and are treated as imputed income to the officer who then is responsible for payment of all taxes due on the fees paid by Abbott.</w:t>
      </w:r>
    </w:p>
    <w:p>
      <w:pPr>
        <w:spacing w:after="0" w:line="185" w:lineRule="exact"/>
        <w:rPr>
          <w:sz w:val="20"/>
          <w:szCs w:val="20"/>
          <w:color w:val="auto"/>
        </w:rPr>
      </w:pPr>
    </w:p>
    <w:p>
      <w:pPr>
        <w:ind w:right="500" w:firstLine="341"/>
        <w:spacing w:after="0" w:line="315" w:lineRule="auto"/>
        <w:rPr>
          <w:sz w:val="20"/>
          <w:szCs w:val="20"/>
          <w:color w:val="auto"/>
        </w:rPr>
      </w:pPr>
      <w:r>
        <w:rPr>
          <w:rFonts w:ascii="Arial" w:cs="Arial" w:eastAsia="Arial" w:hAnsi="Arial"/>
          <w:sz w:val="16"/>
          <w:szCs w:val="16"/>
          <w:i w:val="1"/>
          <w:iCs w:val="1"/>
          <w:color w:val="auto"/>
        </w:rPr>
        <w:t xml:space="preserve">Company Automobile. </w:t>
      </w:r>
      <w:r>
        <w:rPr>
          <w:rFonts w:ascii="Arial" w:cs="Arial" w:eastAsia="Arial" w:hAnsi="Arial"/>
          <w:sz w:val="16"/>
          <w:szCs w:val="16"/>
          <w:color w:val="auto"/>
        </w:rPr>
        <w:t>Messrs. Alban and Chase, Ms. Schumacher, and Dr. Leonard are eligible for use of a company-leased vehicle, with a lease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50 months. Seventy-five percent (75 percent) of the cost of the vehicle is imputed to the officer as income for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Disability Benefit. </w:t>
      </w:r>
      <w:r>
        <w:rPr>
          <w:rFonts w:ascii="Arial" w:cs="Arial" w:eastAsia="Arial" w:hAnsi="Arial"/>
          <w:sz w:val="17"/>
          <w:szCs w:val="17"/>
          <w:color w:val="auto"/>
        </w:rPr>
        <w:t>In addition to Abbott's standard disability benefits, the named executive officers are eligible for a monthly long-term disability benefit,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described in greater detail in the section of this information statement captioned "Executive Compensation—Potential Payments on Termination or Change of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0" w:firstLine="332"/>
        <w:spacing w:after="0" w:line="262" w:lineRule="auto"/>
        <w:rPr>
          <w:sz w:val="20"/>
          <w:szCs w:val="20"/>
          <w:color w:val="auto"/>
        </w:rPr>
      </w:pPr>
      <w:r>
        <w:rPr>
          <w:rFonts w:ascii="Arial" w:cs="Arial" w:eastAsia="Arial" w:hAnsi="Arial"/>
          <w:sz w:val="17"/>
          <w:szCs w:val="17"/>
          <w:color w:val="auto"/>
        </w:rPr>
        <w:t>AbbVie expects to enter into change of control agreements with each of the AbbVie named executive officers, as well as with certain other AbbVie officers, including officers who currently are party to change in control agreements with Abbott and become employed by AbbVie following the separation. Abbott is currently in the process of finalizing the terms of the new AbbVie change in control agreements, which will mirror the terms of the form of Abbott change in control agreement as of the separation date, except that benefits would be payable upon a qualifying termination following a change in control of AbbVie, rather than Abbott. Please see the section of this information statement captioned "Executive Compensation—Potential Payments on Termination or Change of Control" for a description of the Abbott change in control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Guidelines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To further promote sustained shareholder return and to ensure Abbott's officers remain focused on both short- and long-term objectives, Abbott has established share ownership guidelines. Each officer has five years from the date appointed or elected to his or her position to achieve the ownership level associated with the position. The share ownership requirements are 175,000 shares for the Chief Executive Officer of Abbott; 50,000 shares for Executive Vice Presidents and Senior Vice Presidents, including Messrs. Gonzalez and Alban, Ms. Schumacher, and Dr. Leonard; and 25,000 shares for all other officers, including Mr. Chase. All of the named executive officers meet or substantially exceed Abbott's guidelines.</w:t>
      </w:r>
    </w:p>
    <w:p>
      <w:pPr>
        <w:spacing w:after="0" w:line="187" w:lineRule="exact"/>
        <w:rPr>
          <w:sz w:val="20"/>
          <w:szCs w:val="20"/>
          <w:color w:val="auto"/>
        </w:rPr>
      </w:pPr>
    </w:p>
    <w:p>
      <w:pPr>
        <w:ind w:right="140" w:firstLine="332"/>
        <w:spacing w:after="0" w:line="287" w:lineRule="auto"/>
        <w:rPr>
          <w:sz w:val="20"/>
          <w:szCs w:val="20"/>
          <w:color w:val="auto"/>
        </w:rPr>
      </w:pPr>
      <w:r>
        <w:rPr>
          <w:rFonts w:ascii="Arial" w:cs="Arial" w:eastAsia="Arial" w:hAnsi="Arial"/>
          <w:sz w:val="16"/>
          <w:szCs w:val="16"/>
          <w:color w:val="auto"/>
        </w:rPr>
        <w:t>As provided in Abbott's Incentive Stock Program, no award may be assigned, alienated, sold or transferred other than by will or by the laws of descent and distribution, pursuant to a qualified domestic relations order or as permitted by the Abbott Compensation Committee for estate planning purposes, and no award and no right under any award may be pledged, alienated, attached or otherwise encumbered. All members of senior management, including the named executive officers, are required to clear any transaction involving company stock with the Abbott General Counsel prior to entering into such transaction.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AbbVie expects its share ownership guidelines for executive officers to be developed in consultation with its Compensation Committee, taking into account market practice.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800" w:firstLine="338"/>
        <w:spacing w:after="0" w:line="282" w:lineRule="auto"/>
        <w:rPr>
          <w:sz w:val="20"/>
          <w:szCs w:val="20"/>
          <w:color w:val="auto"/>
        </w:rPr>
      </w:pPr>
      <w:r>
        <w:rPr>
          <w:rFonts w:ascii="Arial" w:cs="Arial" w:eastAsia="Arial" w:hAnsi="Arial"/>
          <w:sz w:val="17"/>
          <w:szCs w:val="17"/>
          <w:color w:val="auto"/>
        </w:rPr>
        <w:t>The Abbott Performance Incentive Plan and Incentive Stock Program, which are described above, are intended to comply with Internal Revenue Code Section 162(m) to ensure deductibility.</w:t>
      </w:r>
    </w:p>
    <w:p>
      <w:pPr>
        <w:spacing w:after="0" w:line="170" w:lineRule="exact"/>
        <w:rPr>
          <w:sz w:val="20"/>
          <w:szCs w:val="20"/>
          <w:color w:val="auto"/>
        </w:rPr>
      </w:pPr>
    </w:p>
    <w:p>
      <w:pPr>
        <w:jc w:val="both"/>
        <w:ind w:right="400" w:firstLine="338"/>
        <w:spacing w:after="0" w:line="270" w:lineRule="auto"/>
        <w:rPr>
          <w:sz w:val="20"/>
          <w:szCs w:val="20"/>
          <w:color w:val="auto"/>
        </w:rPr>
      </w:pPr>
      <w:r>
        <w:rPr>
          <w:rFonts w:ascii="Arial" w:cs="Arial" w:eastAsia="Arial" w:hAnsi="Arial"/>
          <w:sz w:val="17"/>
          <w:szCs w:val="17"/>
          <w:color w:val="auto"/>
        </w:rPr>
        <w:t>The Abbott Compensation Committee reserves the flexibility to take actions that may be based on considerations in addition to tax deductibility. The Abbott Compensation Committee believes that shareholder interests are best served by not restricting the Abbott Compensation Committee's discretion and flexibility in crafting compensation programs, even if such programs may result in certain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non-deductible compensation expenses. Accordingly, the Abbott Compensation Committee may from time to time approve components of compensation for certain officers that are not deductible.</w:t>
      </w:r>
    </w:p>
    <w:p>
      <w:pPr>
        <w:spacing w:after="0" w:line="170"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While the Abbott Compensation Committee does not anticipate there would ever be circumstances where a restatement of earnings upon which any incentive plan award decisions were based would occur, the Abbott Compensation Committee, in evaluating such circumstances, has discretion to take all actions necessary to protect the interests of shareholders, up to and including actions to recover such incentive awards. Such circumstances have never occurred for Abbott.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its Compensation Committee to adopt a similar practice with respect to minimizing the adverse effect of Section 162(m) on the deductibility of compensation expense following the separation that will be driven by the considerations described above with respect to Abbott.</w:t>
      </w:r>
    </w:p>
    <w:p>
      <w:pPr>
        <w:spacing w:after="0" w:line="170"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Additionally, AbbVie expects that its Compensation Committee will have the discretion to take actions necessary to protect the interests of stockholders, up to and including actions to recover incentive awards under specified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During 2011, Abbott, through its Human Resources department in coordination with its Internal Audit department, conducted a risk assessment of its compensation policies and practices for employees, including those related to its executive compensation programs. Abbott's risk assessment included a qualitative and quantitative analysis of its employee compensation and benefit programs, including those for its executive officers. Abbott also considered how these programs compare, from a design perspective, to programs maintained by other companies. Based on this assessment, Abbott determined that its compensation and benefit programs appropriately incentivize employees, and that any risks arising from its compensation policies and practices are not reasonably likely to have a material adverse effect on Abbott. The following factors were among those considered in making this determination:</w:t>
      </w:r>
    </w:p>
    <w:p>
      <w:pPr>
        <w:spacing w:after="0" w:line="189" w:lineRule="exact"/>
        <w:rPr>
          <w:sz w:val="20"/>
          <w:szCs w:val="20"/>
          <w:color w:val="auto"/>
        </w:rPr>
      </w:pPr>
    </w:p>
    <w:p>
      <w:pPr>
        <w:ind w:left="1060" w:right="240" w:hanging="531"/>
        <w:spacing w:after="0" w:line="265" w:lineRule="auto"/>
        <w:tabs>
          <w:tab w:leader="none" w:pos="10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Abbott's long-established compensation structure has contributed to a corporate culture that encourages employees to regard Abbott as a career employer. For example, Abbott's U.S. employees participate in an Abbott-sponsored defined benefit pension plan. Equity awards (discussed in more detail below) also vest over multi-year periods. Both forms of compensation encourage Abbott employees to consider the long-term impact of their decisions and align their interests with those of Abbott's shareholders.</w:t>
      </w:r>
    </w:p>
    <w:p>
      <w:pPr>
        <w:spacing w:after="0" w:line="211" w:lineRule="exact"/>
        <w:rPr>
          <w:rFonts w:ascii="Arial" w:cs="Arial" w:eastAsia="Arial" w:hAnsi="Arial"/>
          <w:sz w:val="17"/>
          <w:szCs w:val="17"/>
          <w:color w:val="auto"/>
        </w:rPr>
      </w:pPr>
    </w:p>
    <w:p>
      <w:pPr>
        <w:ind w:left="1060" w:right="140" w:hanging="531"/>
        <w:spacing w:after="0" w:line="263" w:lineRule="auto"/>
        <w:tabs>
          <w:tab w:leader="none" w:pos="10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Abbott's long-term incentive program focuses executive officers on longer-term operating performance and shareholder returns. For 2011, the named executive officers received roughly two-thirds of their total compensation in the form of long-term equity incentives (25 percent of which are stock options, vesting over multi-year periods and 75 percent of which are performance-vesting share awards, which vest over a period of up to five years with not more than one-third of the award vesting in any one year). Abbott's executive officers, including the named executive officers, do not receive any of their long-term incentive compensation in cash.</w:t>
      </w:r>
    </w:p>
    <w:p>
      <w:pPr>
        <w:spacing w:after="0" w:line="200"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Abbott's annual incentive program places an appropriate weighting on earnings achievement by balancing it with other factors. Since earnings are a key component of stock price performance, this aspect of Abbott's compensation plan also promotes alignment with shareholder interests.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82" w:lineRule="auto"/>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Abbott makes equity awards and sets grant prices at the same time each year, at the Abbott Compensation Committee's regularly scheduled meeting. In addition, Abbott does not award discounted stock options or immediately vesting stock options or restricted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Abbott maintains share ownership guidelines for its executive officers, which promotes alignment with shareholder interests.</w:t>
      </w:r>
    </w:p>
    <w:p>
      <w:pPr>
        <w:spacing w:after="0" w:line="237" w:lineRule="exact"/>
        <w:rPr>
          <w:rFonts w:ascii="Arial" w:cs="Arial" w:eastAsia="Arial" w:hAnsi="Arial"/>
          <w:sz w:val="17"/>
          <w:szCs w:val="17"/>
          <w:color w:val="auto"/>
        </w:rPr>
      </w:pPr>
    </w:p>
    <w:p>
      <w:pPr>
        <w:ind w:left="1060" w:right="160" w:hanging="531"/>
        <w:spacing w:after="0" w:line="315" w:lineRule="auto"/>
        <w:tabs>
          <w:tab w:leader="none" w:pos="10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Abbott's Compensation Committee has the ability to exercise downward discretion in determining annual incentive plan payouts. Historically, and in 2011, the Abbott Compensation Committee exercised its discretion to deliver annual incentive plan awards below the maximums.</w:t>
      </w:r>
    </w:p>
    <w:p>
      <w:pPr>
        <w:spacing w:after="0" w:line="159" w:lineRule="exact"/>
        <w:rPr>
          <w:rFonts w:ascii="Arial" w:cs="Arial" w:eastAsia="Arial" w:hAnsi="Arial"/>
          <w:sz w:val="16"/>
          <w:szCs w:val="16"/>
          <w:color w:val="auto"/>
        </w:rPr>
      </w:pPr>
    </w:p>
    <w:p>
      <w:pPr>
        <w:ind w:left="1060" w:right="360" w:hanging="531"/>
        <w:spacing w:after="0" w:line="282" w:lineRule="auto"/>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Abbott requires mandatory training on its codes of conduct and policies and procedures to educate its employees on appropriate behaviors and the consequences of taking inappropriate actions.</w:t>
      </w:r>
    </w:p>
    <w:p>
      <w:pPr>
        <w:spacing w:after="0" w:line="196"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Abbott's compensation arrangements do not include certain design features that may have the potential to encourage excessive risk-taking, including: over-weighting toward annual incentives, highly leveraged payout curves, unreasonable thresholds, and steep payout cliffs at certain levels that may encourage short-term business decisions to meet payout thresholds.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assessment was discussed with the Abbott Compensation Committee and its independent compensation consultant.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AbbVie's Compensation Committee expects to take into account risk-management practices and risk-taking incentives as it considers and develops AbbVie's employee and executive compensation programs. AbbVie's Compensation Committee anticipates that it will adopt a risk assessment process relating to compensation policies and practices initially similar to that in place at Abbott.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Compensation of Executive Officers Prior to the Separation</w:t>
      </w:r>
    </w:p>
    <w:p>
      <w:pPr>
        <w:spacing w:after="0" w:line="228"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Each of AbbVie's named executive officers was employed by Abbott prior to the separation; therefore, the information provided for the years 2011, 2010 and 2009 reflects compensation earned at Abbott and the design and objectives of the Abbott executive compensation programs in place prior to the separation. Each of AbbVie's 2011 named executive officers is currently, and was as of December 31, 2011, an officer of Abbott. Accordingly, the compensation decisions regarding AbbVie's named executive officers were made by the Abbott Compensation Committee or its delegates. Executive compensation decisions following the separation will be made by AbbVie's Compensation Committee. All references in the following tables to stock options, restricted stock units and restricted stock relate to awards granted by Abbott in respect of Abbott common shares.</w:t>
      </w:r>
    </w:p>
    <w:p>
      <w:pPr>
        <w:spacing w:after="0" w:line="18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amounts and forms of compensation reported below are not necessarily indicative of the compensation that AbbVie executive officers will receive following the separation, which could be higher or lower, because historical compensation was determined by Abbott and because future compensation levels at AbbVie will be determined based on the compensation policies, programs and procedures to be established by AbbVie's Compensation Committee for those individuals who will be employed by AbbVie following the separation.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following table summarizes compensation historically awarded to, earned by, or paid to AbbVie's named executive officers by Abbott. Position titles refer to each named executive officer's title at Abbott in 2011.</w:t>
      </w:r>
    </w:p>
    <w:p>
      <w:pPr>
        <w:spacing w:after="0" w:line="160" w:lineRule="exact"/>
        <w:rPr>
          <w:sz w:val="20"/>
          <w:szCs w:val="20"/>
          <w:color w:val="auto"/>
        </w:rPr>
      </w:pPr>
    </w:p>
    <w:tbl>
      <w:tblPr>
        <w:tblLayout w:type="fixed"/>
        <w:tblInd w:w="3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2"/>
              </w:rPr>
              <w:t>Change in</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86"/>
              </w:rPr>
              <w:t>Pension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1"/>
              </w:rPr>
              <w:t>Value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Non-Equity</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Non-qualified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20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3"/>
              </w:rPr>
              <w:t>Deferred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Name 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8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520" w:type="dxa"/>
            <w:vAlign w:val="bottom"/>
          </w:tcPr>
          <w:p>
            <w:pPr>
              <w:spacing w:after="0"/>
              <w:rPr>
                <w:sz w:val="12"/>
                <w:szCs w:val="12"/>
                <w:color w:val="auto"/>
              </w:rPr>
            </w:pPr>
          </w:p>
        </w:tc>
        <w:tc>
          <w:tcPr>
            <w:tcW w:w="66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62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w w:val="83"/>
              </w:rPr>
              <w:t>Bonus</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3"/>
              </w:rPr>
              <w:t>Earnings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84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r>
      <w:tr>
        <w:trPr>
          <w:trHeight w:val="176"/>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520" w:type="dxa"/>
            <w:vAlign w:val="bottom"/>
          </w:tcPr>
          <w:p>
            <w:pPr>
              <w:jc w:val="right"/>
              <w:ind w:right="34"/>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($)(2)(3)</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20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6"/>
              </w:rPr>
              <w:t>($)(5)(6)</w:t>
            </w:r>
          </w:p>
        </w:tc>
        <w:tc>
          <w:tcPr>
            <w:tcW w:w="18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4"/>
              </w:rPr>
              <w:t>($)(7)</w:t>
            </w:r>
          </w:p>
        </w:tc>
        <w:tc>
          <w:tcPr>
            <w:tcW w:w="6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Richard A.</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$ 825,000</w:t>
            </w: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w w:val="92"/>
              </w:rPr>
              <w:t>$1,826,132</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$ 343,273</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1,230,000</w:t>
            </w:r>
          </w:p>
        </w:tc>
        <w:tc>
          <w:tcPr>
            <w:tcW w:w="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882,988</w:t>
            </w:r>
          </w:p>
        </w:tc>
        <w:tc>
          <w:tcPr>
            <w:tcW w:w="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445,446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$5,552,839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Gonzalez</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742,080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300,000(8)</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5,135,240</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848,900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312,256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262,033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7,600,509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Pharmaceutical</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Products</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Group</w:t>
            </w: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8"/>
              </w:rPr>
              <w:t>William J. Chase</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375,000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628,898</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118,370</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330,000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316,489</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50,734</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1,819,491</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Vice 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Licensing</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w w:val="92"/>
              </w:rPr>
              <w:t>and Acquisitions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Laura J.</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827,500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1,905,327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358,225</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1,180,000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1,138,123</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158,318</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5,567,493</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Schumacher</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823,329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3,901,126</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535,920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1,100,000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628,869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137,957</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7,127,201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General</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2009</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799,350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2,479,154</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602,272</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1,075,000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677,765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90,519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5,724,060</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Counsel, and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Corporate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Secretary</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Carlos Alban</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602,471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1,514,013</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285,334</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610,000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774,355</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106,162</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3,892,335</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Senior Vice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Proprietary</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8"/>
              </w:rPr>
              <w:t>Pharmaceutical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1"/>
              </w:rPr>
              <w:t>Products, Global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John M.</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636,500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1,034,187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194,376</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475,500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1,016,012</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141,236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3,497,811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Leonard, M.D.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Senior Vice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6"/>
              </w:rPr>
              <w:t>Pharmaceuticals,</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and</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Development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8" w:lineRule="exact"/>
        <w:rPr>
          <w:sz w:val="20"/>
          <w:szCs w:val="20"/>
          <w:color w:val="auto"/>
        </w:rPr>
      </w:pPr>
    </w:p>
    <w:p>
      <w:pPr>
        <w:ind w:left="3960" w:right="60" w:hanging="530"/>
        <w:spacing w:after="0" w:line="274" w:lineRule="auto"/>
        <w:tabs>
          <w:tab w:leader="none" w:pos="396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In accordance with the SEC's rules, the amounts in this column represent the aggregate grant date fair value of the awards in accordance with Financial Accounting Standards Board ASC Topic 718. Abbott determines grant date fair value by multiplying the number of shares granted by the average of the high and low market prices of an Abbott common share on the award's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3960" w:right="60" w:hanging="530"/>
        <w:spacing w:after="0" w:line="234" w:lineRule="auto"/>
        <w:tabs>
          <w:tab w:leader="none" w:pos="396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In accordance with the SEC's rules, the amounts in this column represent the aggregate grant date fair value of the awards in accordance with Financial Accounting Standards Board ASC Topic 718. Other than options granted pursuant to a replacement option feature of a pre-2005 option award, options granted after 2004 do not include a replacement option feature. When the exercise price of an option with a replacement option feature is paid (or, in the case of a non-qualified stock option, when the option's exercise price or the withholding taxes resulting on exercise of that option are paid) with Abbott common shares held by the named executive officer, a replacement option may be granted for the number of shares used to make that payment. Abbott uses the closing price of an Abbott common share on the business day before the exercise to determine the number of shares required to exercise the related option and the exercise price of the replacement option. The replacement option is exercisable in full six months after the date of grant, and has a term expiring on the expiration date of the original option. Other terms and conditions of the replacement option award are the same in all material respects as those applicable to the original grant.</w:t>
      </w:r>
    </w:p>
    <w:p>
      <w:pPr>
        <w:spacing w:after="0" w:line="115" w:lineRule="exact"/>
        <w:rPr>
          <w:rFonts w:ascii="Arial" w:cs="Arial" w:eastAsia="Arial" w:hAnsi="Arial"/>
          <w:sz w:val="13"/>
          <w:szCs w:val="13"/>
          <w:color w:val="auto"/>
        </w:rPr>
      </w:pPr>
    </w:p>
    <w:p>
      <w:pPr>
        <w:ind w:left="3960" w:hanging="530"/>
        <w:spacing w:after="0" w:line="237" w:lineRule="auto"/>
        <w:tabs>
          <w:tab w:leader="none" w:pos="396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These amounts were determined as of the option's grant date using a Black-Scholes stock option valuation model. These amounts are being reported solely for the purpose of comparative disclosure in accordance with the SEC's rules. There is no certainty that the amount determined using a Black-Scholes stock option valuation model would be the value at which employee stock options would be traded for cash. For options, other than replacement options, the assumptions are the same as those described in Note 8 entitled "Incentive Stock Program" of Abbott's Notes to Consolidated Financial Statements included under Item 8, "Financial Statements and Supplementary Data" in Abbott's 2011 Annual Report on SEC Form 10-K.</w:t>
      </w:r>
    </w:p>
    <w:p>
      <w:pPr>
        <w:spacing w:after="0" w:line="110" w:lineRule="exact"/>
        <w:rPr>
          <w:rFonts w:ascii="Arial" w:cs="Arial" w:eastAsia="Arial" w:hAnsi="Arial"/>
          <w:sz w:val="13"/>
          <w:szCs w:val="13"/>
          <w:color w:val="auto"/>
        </w:rPr>
      </w:pPr>
    </w:p>
    <w:p>
      <w:pPr>
        <w:ind w:left="3960" w:right="120" w:hanging="530"/>
        <w:spacing w:after="0" w:line="266" w:lineRule="auto"/>
        <w:tabs>
          <w:tab w:leader="none" w:pos="396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This compensation is earned as a performance-based incentive bonus, pursuant to the 1998 Abbott Laboratories Performance Incentive Plan for Messrs. Gonzalez and Alban, Ms. Schumacher, and Dr. Leonard, and the 1986 Abbott Laboratories Management Incentive Plan for Mr. Chase. Additional information regarding these plans can be found in the section of this information statement captioned "Compensation Discussion and Analysis—How Executive Pay Decisions Are Made—Historically—Annual Bonus."</w:t>
      </w:r>
    </w:p>
    <w:p>
      <w:pPr>
        <w:spacing w:after="0" w:line="96" w:lineRule="exact"/>
        <w:rPr>
          <w:rFonts w:ascii="Arial" w:cs="Arial" w:eastAsia="Arial" w:hAnsi="Arial"/>
          <w:sz w:val="12"/>
          <w:szCs w:val="12"/>
          <w:color w:val="auto"/>
        </w:rPr>
      </w:pPr>
    </w:p>
    <w:p>
      <w:pPr>
        <w:ind w:left="3960" w:hanging="530"/>
        <w:spacing w:after="0"/>
        <w:tabs>
          <w:tab w:leader="none" w:pos="396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plan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3" w:lineRule="exact"/>
        <w:rPr>
          <w:rFonts w:ascii="Arial" w:cs="Arial" w:eastAsia="Arial" w:hAnsi="Arial"/>
          <w:sz w:val="13"/>
          <w:szCs w:val="13"/>
          <w:color w:val="auto"/>
        </w:rPr>
      </w:pPr>
    </w:p>
    <w:p>
      <w:pPr>
        <w:ind w:left="3960"/>
        <w:spacing w:after="0"/>
        <w:rPr>
          <w:rFonts w:ascii="Arial" w:cs="Arial" w:eastAsia="Arial" w:hAnsi="Arial"/>
          <w:sz w:val="13"/>
          <w:szCs w:val="13"/>
          <w:color w:val="auto"/>
        </w:rPr>
      </w:pPr>
      <w:r>
        <w:rPr>
          <w:rFonts w:ascii="Arial" w:cs="Arial" w:eastAsia="Arial" w:hAnsi="Arial"/>
          <w:sz w:val="13"/>
          <w:szCs w:val="13"/>
          <w:i w:val="1"/>
          <w:iCs w:val="1"/>
          <w:color w:val="auto"/>
        </w:rPr>
        <w:t>Abbott Laboratories Annuity Retirement Plan</w:t>
      </w: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$33,248 / $3,001; W. J. Chase: $77,342; L. J. Schumacher: $85,875 / $37,903 / $53,615; C. Alban: $101,829;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$106,953.</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Abbott Laboratories Supplemental Pension Plan</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1"/>
          <w:szCs w:val="11"/>
          <w:color w:val="auto"/>
        </w:rPr>
        <w:t>R. A. Gonzalez: $743,082 / $245,389; W. J. Chase: $226,766; L. J. Schumacher: $939,737 / $541,637 / $611,459; C. Alban: $628,531; and J.</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M. Leonard: $789,474.</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Non-Qualified Defined Contribution Plan Earnings</w:t>
      </w:r>
    </w:p>
    <w:p>
      <w:pPr>
        <w:spacing w:after="0" w:line="178" w:lineRule="exact"/>
        <w:rPr>
          <w:sz w:val="20"/>
          <w:szCs w:val="20"/>
          <w:color w:val="auto"/>
        </w:rPr>
      </w:pPr>
    </w:p>
    <w:p>
      <w:pPr>
        <w:ind w:left="3960" w:right="280"/>
        <w:spacing w:after="0" w:line="256" w:lineRule="auto"/>
        <w:rPr>
          <w:sz w:val="20"/>
          <w:szCs w:val="20"/>
          <w:color w:val="auto"/>
        </w:rPr>
      </w:pPr>
      <w:r>
        <w:rPr>
          <w:rFonts w:ascii="Arial" w:cs="Arial" w:eastAsia="Arial" w:hAnsi="Arial"/>
          <w:sz w:val="13"/>
          <w:szCs w:val="13"/>
          <w:color w:val="auto"/>
        </w:rPr>
        <w:t>The totals in this column include reportable interest credited under the 1998 Abbott Laboratories Performance Incentive Plan, the Abbott Laboratories 401(k) Supplemental Plan, and the 1986 Abbott Laboratories Management Incentive Plan.</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R. A. Gonzalez: $106,658 / $63,866; W. J. Chase: $12,381; L. J. Schumacher: $112,511 / $49,329 / $12,691; C. Alban: $43,995; and J. 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Leonard: $119,585.</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1"/>
              </w:rPr>
              <w:t>The present value of a pension benefit is determined, in part, by the discount rate used for accounting purposes. As required by the Financial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Accounting Standards Board, that discount rate is determined by reference to the prevailing market rate of interest. In 2011, interest rates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declined and the discount rate used for the Annuity Retirement Plan and Supplemental Pension Plan was reduced to reflect that decline.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reduction in the discount rate increases the present value of participants' pensions while actual payments to be made to participants are not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changed.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The change in pension value included in this total is the result of the following factors: (i) the impact of changes in the actuarial assumptions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4"/>
              </w:rPr>
              <w:t>Abbott uses to calculate plan liability for financial reporting purposes, primarily the change in discount rate, (ii) additional pension benefit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accrual under the Annuity Retirement Plan and Supplemental Pension Plan (other than for Mr. Gonzalez who is not accruing any additional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1"/>
              </w:rPr>
              <w:t>Abbott plan benefits), (iii) the impact of the time value of money on the pension value, and (iv) with respect to Mr. Gonzalez, payments made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to him from these plans.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89"/>
              </w:rPr>
              <w:t>2011 Change in Pension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91"/>
              </w:rPr>
              <w:t>Value Resulting From</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9"/>
              </w:rPr>
              <w:t>Change in</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Actuarial</w:t>
            </w:r>
          </w:p>
        </w:tc>
        <w:tc>
          <w:tcPr>
            <w:tcW w:w="160" w:type="dxa"/>
            <w:vAlign w:val="bottom"/>
          </w:tcPr>
          <w:p>
            <w:pPr>
              <w:spacing w:after="0"/>
              <w:rPr>
                <w:sz w:val="12"/>
                <w:szCs w:val="12"/>
                <w:color w:val="auto"/>
              </w:rPr>
            </w:pPr>
          </w:p>
        </w:tc>
        <w:tc>
          <w:tcPr>
            <w:tcW w:w="2780" w:type="dxa"/>
            <w:vAlign w:val="bottom"/>
            <w:gridSpan w:val="3"/>
          </w:tcPr>
          <w:p>
            <w:pPr>
              <w:jc w:val="center"/>
              <w:ind w:right="1840"/>
              <w:spacing w:after="0" w:line="144"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57"/>
        </w:trPr>
        <w:tc>
          <w:tcPr>
            <w:tcW w:w="20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5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Assumptions</w:t>
            </w:r>
          </w:p>
        </w:tc>
        <w:tc>
          <w:tcPr>
            <w:tcW w:w="160" w:type="dxa"/>
            <w:vAlign w:val="bottom"/>
          </w:tcPr>
          <w:p>
            <w:pPr>
              <w:spacing w:after="0"/>
              <w:rPr>
                <w:sz w:val="13"/>
                <w:szCs w:val="13"/>
                <w:color w:val="auto"/>
              </w:rPr>
            </w:pPr>
          </w:p>
        </w:tc>
        <w:tc>
          <w:tcPr>
            <w:tcW w:w="27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9"/>
              </w:rPr>
              <w:t>Factors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 A. Gonzalez</w:t>
            </w:r>
          </w:p>
        </w:tc>
        <w:tc>
          <w:tcPr>
            <w:tcW w:w="3980" w:type="dxa"/>
            <w:vAlign w:val="bottom"/>
            <w:gridSpan w:val="2"/>
            <w:shd w:val="clear" w:color="auto" w:fill="CCEEFF"/>
          </w:tcPr>
          <w:p>
            <w:pPr>
              <w:ind w:left="388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908,206</w:t>
            </w:r>
          </w:p>
        </w:tc>
        <w:tc>
          <w:tcPr>
            <w:tcW w:w="12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 (131,876)</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W. J. Chase</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164,080</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140,028</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 J. Schumacher</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577,144</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448,468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C. Alban</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330,629</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399,731</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J. M. Leonard</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427,239</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469,188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60" w:hanging="530"/>
        <w:spacing w:after="0"/>
        <w:tabs>
          <w:tab w:leader="none" w:pos="396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The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63" w:lineRule="exact"/>
        <w:rPr>
          <w:sz w:val="20"/>
          <w:szCs w:val="20"/>
          <w:color w:val="auto"/>
        </w:rPr>
      </w:pPr>
    </w:p>
    <w:p>
      <w:pPr>
        <w:ind w:left="3960" w:right="200"/>
        <w:spacing w:after="0" w:line="256" w:lineRule="auto"/>
        <w:rPr>
          <w:sz w:val="20"/>
          <w:szCs w:val="20"/>
          <w:color w:val="auto"/>
        </w:rPr>
      </w:pPr>
      <w:r>
        <w:rPr>
          <w:rFonts w:ascii="Arial" w:cs="Arial" w:eastAsia="Arial" w:hAnsi="Arial"/>
          <w:sz w:val="13"/>
          <w:szCs w:val="13"/>
          <w:i w:val="1"/>
          <w:iCs w:val="1"/>
          <w:color w:val="auto"/>
        </w:rPr>
        <w:t>Earnings, Fees and Tax Payments for Non-Qualified Defined Benefit and Non-Qualified Defined Contribution Plans (net of the reportable interest included in footnote 5).</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$72,623 / $76,225; W. J. Chase: $12,458; L. J. Schumacher: $88,141 / $65,627 / $22,042; C. Alban: $33,977;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$82,639.</w:t>
      </w:r>
    </w:p>
    <w:p>
      <w:pPr>
        <w:spacing w:after="0" w:line="168" w:lineRule="exact"/>
        <w:rPr>
          <w:sz w:val="20"/>
          <w:szCs w:val="20"/>
          <w:color w:val="auto"/>
        </w:rPr>
      </w:pPr>
    </w:p>
    <w:p>
      <w:pPr>
        <w:ind w:left="3960" w:right="40"/>
        <w:spacing w:after="0" w:line="237" w:lineRule="auto"/>
        <w:rPr>
          <w:sz w:val="20"/>
          <w:szCs w:val="20"/>
          <w:color w:val="auto"/>
        </w:rPr>
      </w:pPr>
      <w:r>
        <w:rPr>
          <w:rFonts w:ascii="Arial" w:cs="Arial" w:eastAsia="Arial" w:hAnsi="Arial"/>
          <w:sz w:val="13"/>
          <w:szCs w:val="13"/>
          <w:color w:val="auto"/>
        </w:rPr>
        <w:t>Each of the named executive officers' awards under the 1998 Abbott Laboratories Performance Incentive Plan or the 1986 Abbott Laboratories Management Incentive Plan is paid in cash to the named executive officer on a current basis and may be deposited into a grantor trust established by the named executive officer, net of maximum tax withholdings. Each of the named executive officers has also established grantor trusts in connection with the Abbott Laboratories Supplemental Pension Plan and the Abbott Laboratories 401(k) Supplemental Plan. These amounts include the earnings (net of the reportable interest included in footnote 5), fees, and tax payments paid in connection with these grantor trusts.</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Employer Contributions to Defined Contribution Plans</w:t>
      </w:r>
    </w:p>
    <w:p>
      <w:pPr>
        <w:spacing w:after="0" w:line="191"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R. A. Gonzalez: $0 / $0; W. J. Chase: $18,750; L. J. Schumacher: $41,375 / $41,166 / $39,968; C. Alban: $30,124; and</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J. M. Leonard: $31,825.</w:t>
      </w:r>
    </w:p>
    <w:p>
      <w:pPr>
        <w:spacing w:after="0" w:line="168" w:lineRule="exact"/>
        <w:rPr>
          <w:sz w:val="20"/>
          <w:szCs w:val="20"/>
          <w:color w:val="auto"/>
        </w:rPr>
      </w:pPr>
    </w:p>
    <w:p>
      <w:pPr>
        <w:ind w:left="3960"/>
        <w:spacing w:after="0" w:line="260" w:lineRule="auto"/>
        <w:rPr>
          <w:sz w:val="20"/>
          <w:szCs w:val="20"/>
          <w:color w:val="auto"/>
        </w:rPr>
      </w:pPr>
      <w:r>
        <w:rPr>
          <w:rFonts w:ascii="Arial" w:cs="Arial" w:eastAsia="Arial" w:hAnsi="Arial"/>
          <w:sz w:val="12"/>
          <w:szCs w:val="12"/>
          <w:color w:val="auto"/>
        </w:rPr>
        <w:t>These amounts include Abbott contributions to both Abbott's tax-qualified defined contribution plan and the Abbott Laboratories 401(k) Supplemental Plan. The Abbott Laboratories 401(k) Supplemental Plan permits the named executive officers to contribute amounts in excess of the limit set by the Internal Revenue Code for employee contributions to 401(k) plans up to the excess of (i) 18 percent of their base salary over (ii) the amount contributed to Abbott's tax-qualified 401(k) plan. Abbott matches participant contributions at the rate of 250 percent of the first 2 percent of compensation contributed to the plan. The named executive officers have these amounts paid to them in cash on a current basis and deposited into a grantor trust established by the officer, net of maximum tax withholdings.</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Other Compensation</w:t>
      </w:r>
    </w:p>
    <w:p>
      <w:pPr>
        <w:spacing w:after="0" w:line="191" w:lineRule="exact"/>
        <w:rPr>
          <w:sz w:val="20"/>
          <w:szCs w:val="20"/>
          <w:color w:val="auto"/>
        </w:rPr>
      </w:pPr>
    </w:p>
    <w:p>
      <w:pPr>
        <w:ind w:left="3960" w:right="160"/>
        <w:spacing w:after="0" w:line="256" w:lineRule="auto"/>
        <w:rPr>
          <w:sz w:val="20"/>
          <w:szCs w:val="20"/>
          <w:color w:val="auto"/>
        </w:rPr>
      </w:pPr>
      <w:r>
        <w:rPr>
          <w:rFonts w:ascii="Arial" w:cs="Arial" w:eastAsia="Arial" w:hAnsi="Arial"/>
          <w:sz w:val="13"/>
          <w:szCs w:val="13"/>
          <w:color w:val="auto"/>
        </w:rPr>
        <w:t>The following amounts are included in the totals in this column, which reflect Abbott's incremental cost for non-business related flights, by Mr. Gonzalez: $372,823 / $185,808.</w:t>
      </w:r>
    </w:p>
    <w:p>
      <w:pPr>
        <w:spacing w:after="0" w:line="153"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Abbott determines the incremental cost for flights based on the direct cost to Abbott, including fuel costs, parking, handling and landing fees, catering, travel fees, and other miscellaneous direct costs.</w:t>
      </w:r>
    </w:p>
    <w:p>
      <w:pPr>
        <w:spacing w:after="0" w:line="153"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Also included in the totals shown in the table is the cost of providing a corporate automobile less the amount reimbursed by the officer: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$13,026; L. J. Schumacher: $18,802 / $21,164 / $18,509; C. Alban: $17,300; and J. M. Leonard: $18,772.</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For Messrs. Alban and Chase, Ms. Schumacher, and Dr. Leonard, the following costs associated with financial planning are included: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$6,500; L. J. Schumacher: $10,000 / $10,000 / $10,000; C. Alban: $11,447; and J. M. Leonard: $8,000.</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For Mr. Alban, relocation payments of $13,314 made in connection with his overseas assignment are included.</w:t>
      </w:r>
    </w:p>
    <w:p>
      <w:pPr>
        <w:spacing w:after="0" w:line="178"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The named executive officers are also eligible to participate in an executive disability benefit described under "Compensation Discussion and Analysis—Post-Termination and Other Benefits."</w:t>
      </w:r>
    </w:p>
    <w:p>
      <w:pPr>
        <w:spacing w:after="0" w:line="101" w:lineRule="exact"/>
        <w:rPr>
          <w:sz w:val="20"/>
          <w:szCs w:val="20"/>
          <w:color w:val="auto"/>
        </w:rPr>
      </w:pPr>
    </w:p>
    <w:p>
      <w:pPr>
        <w:ind w:left="3960" w:hanging="530"/>
        <w:spacing w:after="0"/>
        <w:tabs>
          <w:tab w:leader="none" w:pos="396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Bonus paid to Mr. Gonzalez upon his appointment by Abbott as Executive Vice President, Pharmaceutical Products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for Fiscal 2011</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Estimated Future</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Payouts Under</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Estimated</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Non-Equity</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Future</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or Base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Closing</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Payouts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Price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7"/>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Under Equity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1"/>
              </w:rPr>
              <w:t>Numbers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4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Grant Date Fair</w:t>
            </w:r>
          </w:p>
        </w:tc>
      </w:tr>
      <w:tr>
        <w:trPr>
          <w:trHeight w:val="124"/>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Incentive</w:t>
            </w:r>
          </w:p>
        </w:tc>
        <w:tc>
          <w:tcPr>
            <w:tcW w:w="1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Securities</w:t>
            </w: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75"/>
              </w:rPr>
              <w:t>on</w:t>
            </w:r>
          </w:p>
        </w:tc>
        <w:tc>
          <w:tcPr>
            <w:tcW w:w="200" w:type="dxa"/>
            <w:vAlign w:val="bottom"/>
          </w:tcPr>
          <w:p>
            <w:pPr>
              <w:spacing w:after="0"/>
              <w:rPr>
                <w:sz w:val="10"/>
                <w:szCs w:val="10"/>
                <w:color w:val="auto"/>
              </w:rPr>
            </w:pPr>
          </w:p>
        </w:tc>
        <w:tc>
          <w:tcPr>
            <w:tcW w:w="120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9"/>
              </w:rPr>
              <w:t>Value of Stock</w:t>
            </w: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Target</w:t>
            </w:r>
          </w:p>
        </w:tc>
        <w:tc>
          <w:tcPr>
            <w:tcW w:w="80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9"/>
              </w:rPr>
              <w:t>Maximum</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and Option</w:t>
            </w:r>
          </w:p>
        </w:tc>
      </w:tr>
      <w:tr>
        <w:trPr>
          <w:trHeight w:val="176"/>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Grant Date</w:t>
            </w: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Target (#)(2)(3)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 (#)(4)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5"/>
                <w:szCs w:val="15"/>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39,200</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1,826,132(5)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55,100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  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$ 46.88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343,273(6)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7"/>
                <w:szCs w:val="17"/>
                <w:color w:val="auto"/>
              </w:rPr>
              <w:t>W. J. Chase</w:t>
            </w:r>
          </w:p>
        </w:tc>
        <w:tc>
          <w:tcPr>
            <w:tcW w:w="11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66"/>
              <w:spacing w:after="0" w:line="194" w:lineRule="exact"/>
              <w:rPr>
                <w:sz w:val="20"/>
                <w:szCs w:val="20"/>
                <w:color w:val="auto"/>
              </w:rPr>
            </w:pPr>
            <w:r>
              <w:rPr>
                <w:rFonts w:ascii="Arial" w:cs="Arial" w:eastAsia="Arial" w:hAnsi="Arial"/>
                <w:sz w:val="17"/>
                <w:szCs w:val="17"/>
                <w:color w:val="auto"/>
              </w:rPr>
              <w:t>13,500</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628,898(5)</w:t>
            </w: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19,000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118,370(6)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40,900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1,905,327(5)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57,500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358,225(6)</w:t>
            </w:r>
          </w:p>
        </w:tc>
      </w:tr>
      <w:tr>
        <w:trPr>
          <w:trHeight w:val="26"/>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194"/>
        </w:trPr>
        <w:tc>
          <w:tcPr>
            <w:tcW w:w="1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 Alban</w:t>
            </w:r>
          </w:p>
        </w:tc>
        <w:tc>
          <w:tcPr>
            <w:tcW w:w="1100" w:type="dxa"/>
            <w:vAlign w:val="bottom"/>
            <w:tcBorders>
              <w:top w:val="single" w:sz="8" w:color="auto"/>
            </w:tcBorders>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66"/>
              <w:spacing w:after="0" w:line="194" w:lineRule="exact"/>
              <w:rPr>
                <w:sz w:val="20"/>
                <w:szCs w:val="20"/>
                <w:color w:val="auto"/>
              </w:rPr>
            </w:pPr>
            <w:r>
              <w:rPr>
                <w:rFonts w:ascii="Arial" w:cs="Arial" w:eastAsia="Arial" w:hAnsi="Arial"/>
                <w:sz w:val="17"/>
                <w:szCs w:val="17"/>
                <w:color w:val="auto"/>
              </w:rPr>
              <w:t>32,500</w:t>
            </w:r>
          </w:p>
        </w:tc>
        <w:tc>
          <w:tcPr>
            <w:tcW w:w="1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7"/>
              </w:rPr>
              <w:t>1,514,013(5)</w:t>
            </w:r>
          </w:p>
        </w:tc>
        <w:tc>
          <w:tcPr>
            <w:tcW w:w="24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45,800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285,334(6)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22,200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1,034,187(5)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31,200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194,376(6)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Messrs. Gonzalez and Alban, Ms. Schumacher, and Dr. Leonard participate in the 1998 Abbott Laboratories Performance Incentive Plan and Mr. Chase participates in the 1986 Abbott Laboratories Management Incentive Plan, both of which are annual, non-equity incentive plans. The annual cash incentive awards earned by the named executive officers in 2011 under the plans are shown in the Summary Compensation Table under the column captioned "Non-Equity Incentive Plan Compensation." No future payouts will be made under the plans' 2011 annual cash incentive award. These plans are described in greater detail in the section of this information statement captioned, "Compensation Discussion and Analysis—How Executive Pay Decisions Are Made—Historically—Annual Bonus."</w:t>
      </w:r>
    </w:p>
    <w:p>
      <w:pPr>
        <w:spacing w:after="0" w:line="201" w:lineRule="exact"/>
        <w:rPr>
          <w:rFonts w:ascii="Arial" w:cs="Arial" w:eastAsia="Arial" w:hAnsi="Arial"/>
          <w:sz w:val="16"/>
          <w:szCs w:val="16"/>
          <w:color w:val="auto"/>
        </w:rPr>
      </w:pPr>
    </w:p>
    <w:p>
      <w:pPr>
        <w:ind w:left="1680" w:hanging="533"/>
        <w:spacing w:after="0" w:line="263" w:lineRule="auto"/>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These are performance-based restricted stock awards that have a five-year term and vest upon Abbott achieving a minimum return on equity target, with no more than one-third of the award vesting in any one year. In 2011, Abbott reached its minimum return on equity target and one-third of each of the awards made on February 18, 2011 vested on February 29, 2012. The return on equity targets are described in the section of this information statement captioned, "Compensation Discussion and Analysis—How Executive Pay Decisions Are Made—Historically— Long-Term Incentives—Equity Awards."</w:t>
      </w:r>
    </w:p>
    <w:p>
      <w:pPr>
        <w:spacing w:after="0" w:line="200" w:lineRule="exact"/>
        <w:rPr>
          <w:rFonts w:ascii="Arial" w:cs="Arial" w:eastAsia="Arial" w:hAnsi="Arial"/>
          <w:sz w:val="17"/>
          <w:szCs w:val="17"/>
          <w:color w:val="auto"/>
        </w:rPr>
      </w:pPr>
    </w:p>
    <w:p>
      <w:pPr>
        <w:ind w:left="1680" w:hanging="533"/>
        <w:spacing w:after="0" w:line="315" w:lineRule="auto"/>
        <w:tabs>
          <w:tab w:leader="none" w:pos="1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the event of a grantee's death or disability or a change in control of Abbott, as defined in Abbott's incentive stock program, these awards are deemed fully earned. Outstanding restricted stock receives dividends at the same rate as all other shareholders.</w:t>
      </w:r>
    </w:p>
    <w:p>
      <w:pPr>
        <w:spacing w:after="0" w:line="159" w:lineRule="exact"/>
        <w:rPr>
          <w:rFonts w:ascii="Arial" w:cs="Arial" w:eastAsia="Arial" w:hAnsi="Arial"/>
          <w:sz w:val="16"/>
          <w:szCs w:val="16"/>
          <w:color w:val="auto"/>
        </w:rPr>
      </w:pPr>
    </w:p>
    <w:p>
      <w:pPr>
        <w:ind w:left="1680" w:hanging="533"/>
        <w:spacing w:after="0" w:line="265" w:lineRule="auto"/>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One-third of these options are exercisable after one year; two-thirds after two years; and all after three years. The options vest in the event of the grantee's death or disability or a change in control of Abbott. Under the Abbott Laboratories 2009 Incentive Stock Program, these options have an exercise price equal to the average of the high and low market prices (rounded-up to the next even penny) of an Abbott common share on the date of grant. These options do not contain a replacement option feature.</w:t>
      </w:r>
    </w:p>
    <w:p>
      <w:pPr>
        <w:spacing w:after="0" w:line="211" w:lineRule="exact"/>
        <w:rPr>
          <w:rFonts w:ascii="Arial" w:cs="Arial" w:eastAsia="Arial" w:hAnsi="Arial"/>
          <w:sz w:val="17"/>
          <w:szCs w:val="17"/>
          <w:color w:val="auto"/>
        </w:rPr>
      </w:pPr>
    </w:p>
    <w:p>
      <w:pPr>
        <w:ind w:left="1680" w:right="140" w:hanging="533"/>
        <w:spacing w:after="0" w:line="282" w:lineRule="auto"/>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Abbott determines the grant date fair value of stock awards by multiplying the number of shares of restricted stock granted by the average of the high and low market prices of an Abbott common share on the grant date.</w:t>
      </w:r>
    </w:p>
    <w:p>
      <w:pPr>
        <w:spacing w:after="0" w:line="182" w:lineRule="exact"/>
        <w:rPr>
          <w:rFonts w:ascii="Arial" w:cs="Arial" w:eastAsia="Arial" w:hAnsi="Arial"/>
          <w:sz w:val="17"/>
          <w:szCs w:val="17"/>
          <w:color w:val="auto"/>
        </w:rPr>
      </w:pPr>
    </w:p>
    <w:p>
      <w:pPr>
        <w:ind w:left="1680" w:right="120" w:hanging="533"/>
        <w:spacing w:after="0" w:line="294" w:lineRule="auto"/>
        <w:tabs>
          <w:tab w:leader="none" w:pos="1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These values were determined as of the option's grant date using a Black-Scholes stock option valuation model. The model uses the assumptions described in Note 8, entitled "Incentive Stock Program," of Abbott's Notes to Consolidated Financial Statements included under Item 8, "Financial Statements and Supplemental Data" in Abbott's 2011 Annual Report on SEC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2011 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equity awards held by the named executive officers at year-end.</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0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8"/>
              </w:rPr>
              <w:t>Incentive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Shares or</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Unearned</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8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or Other</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6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Rights That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Options (#)</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 A. Gonzalez</w:t>
            </w: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w w:val="87"/>
              </w:rPr>
              <w:t>16,666(2) $</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937,129</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89"/>
              </w:rPr>
              <w:t>26,666(2)</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1,499,429</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39,200(2)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2,204,216</w:t>
            </w: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302,000</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219,192</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52.3900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55,100(2)</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118.</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r>
      <w:tr>
        <w:trPr>
          <w:trHeight w:val="125"/>
        </w:trPr>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90"/>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 J. Chase</w:t>
            </w: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9,000(2) $</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506,070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5"/>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168,690</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6,133(2)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344,859</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13,500(2)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759,105</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2,713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49.2300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6,600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54.6200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52.6900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1,805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963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55.7600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59.4300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8,534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118.</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 J. Schumacher</w:t>
            </w: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32,000(2) $   1,799,360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0"/>
              </w:rPr>
              <w:t>15,266(2)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858,407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26,400(2)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1,484,472</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40,900(2)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2,299,807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63,800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6,885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112,000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2/12/13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12,114</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8/31/13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1,731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110,500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9,042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55.6600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11,591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52.7400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1,086</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43,267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19,334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118.</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3"/>
                <w:szCs w:val="13"/>
                <w:b w:val="1"/>
                <w:bCs w:val="1"/>
                <w:color w:val="auto"/>
              </w:rPr>
              <w:t>Option Awards(1)</w:t>
            </w:r>
          </w:p>
        </w:tc>
        <w:tc>
          <w:tcPr>
            <w:tcW w:w="7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25"/>
        </w:trPr>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Equity Incentive</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5"/>
              </w:rPr>
              <w:t>Market or</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Rights That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or Other Rights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0"/>
              </w:rPr>
              <w:t>Options (#)</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Options (#)</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That Have Not</w:t>
            </w:r>
          </w:p>
        </w:tc>
      </w:tr>
      <w:tr>
        <w:trPr>
          <w:trHeight w:val="176"/>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1"/>
              </w:rPr>
              <w:t>Exercisable</w:t>
            </w: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8"/>
              </w:rPr>
              <w:t>Unexercisable</w:t>
            </w: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r>
      <w:tr>
        <w:trPr>
          <w:trHeight w:val="16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 Alban</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5"/>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4,166(2)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234,254</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275,527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15,733(2)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884,667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1,827,475</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30,800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4/23/16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35,700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33,900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2,834</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51.2800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1,198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57.2500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1,331</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56.0000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1,538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1,918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11,800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14,000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10/14/19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11,534</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23,066(2)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45,800(2)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118.</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Plan</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Options (#)</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 ($)</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 M. Leonard</w:t>
            </w: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509,781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13,066(2)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734,701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1,248,306</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34,800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36,000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4/23/16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13,244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17,849</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59,300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7,057</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53.1200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10,850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54.3000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93,400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12,823</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58.7100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1,832</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25,800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9,567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118.</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Footnotes to Outstanding Equity Awards table:</w:t>
      </w:r>
    </w:p>
    <w:p>
      <w:pPr>
        <w:spacing w:after="0" w:line="237" w:lineRule="exact"/>
        <w:rPr>
          <w:sz w:val="20"/>
          <w:szCs w:val="20"/>
          <w:color w:val="auto"/>
        </w:rPr>
      </w:pPr>
    </w:p>
    <w:p>
      <w:pPr>
        <w:ind w:left="520" w:hanging="515"/>
        <w:spacing w:after="0"/>
        <w:tabs>
          <w:tab w:leader="none" w:pos="5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Except as noted, these options are fully vested.</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vesting dates of outstanding unexercisable stock options and unvested restricted stock awards at December 31, 2011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b w:val="1"/>
                <w:bCs w:val="1"/>
                <w:color w:val="auto"/>
              </w:rPr>
              <w:t>Stock Awards</w:t>
            </w:r>
          </w:p>
        </w:tc>
        <w:tc>
          <w:tcPr>
            <w:tcW w:w="820" w:type="dxa"/>
            <w:vAlign w:val="bottom"/>
            <w:tcBorders>
              <w:bottom w:val="single" w:sz="8" w:color="auto"/>
            </w:tcBorders>
          </w:tcPr>
          <w:p>
            <w:pPr>
              <w:spacing w:after="0"/>
              <w:rPr>
                <w:sz w:val="13"/>
                <w:szCs w:val="13"/>
                <w:color w:val="auto"/>
              </w:rPr>
            </w:pPr>
          </w:p>
        </w:tc>
      </w:tr>
      <w:tr>
        <w:trPr>
          <w:trHeight w:val="124"/>
        </w:trPr>
        <w:tc>
          <w:tcPr>
            <w:tcW w:w="1820" w:type="dxa"/>
            <w:vAlign w:val="bottom"/>
          </w:tcPr>
          <w:p>
            <w:pPr>
              <w:spacing w:after="0"/>
              <w:rPr>
                <w:sz w:val="10"/>
                <w:szCs w:val="10"/>
                <w:color w:val="auto"/>
              </w:rPr>
            </w:pPr>
          </w:p>
        </w:tc>
        <w:tc>
          <w:tcPr>
            <w:tcW w:w="880" w:type="dxa"/>
            <w:vAlign w:val="bottom"/>
          </w:tcPr>
          <w:p>
            <w:pPr>
              <w:jc w:val="center"/>
              <w:ind w:right="34"/>
              <w:spacing w:after="0" w:line="124"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w w:val="95"/>
              </w:rPr>
              <w:t>Number of</w:t>
            </w:r>
          </w:p>
        </w:tc>
        <w:tc>
          <w:tcPr>
            <w:tcW w:w="8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Shares of</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Restricted</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Restricted</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Remaining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Stock</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from</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Vesting—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Vesting—</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Shares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89"/>
              </w:rPr>
              <w:t>Vesting—</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Original</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Date</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2"/>
              </w:rPr>
              <w:t>Date</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7"/>
              </w:rPr>
              <w:t>Grant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2012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2013</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 2014</w:t>
            </w: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2012</w:t>
            </w:r>
          </w:p>
        </w:tc>
        <w:tc>
          <w:tcPr>
            <w:tcW w:w="10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Vested 2013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2014</w:t>
            </w: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R. A. Gonzalez</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55,100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18,367—2/18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16,666—4/06</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13,333—2/19</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13,333—2/19</w:t>
            </w:r>
          </w:p>
        </w:tc>
        <w:tc>
          <w:tcPr>
            <w:tcW w:w="820" w:type="dxa"/>
            <w:vAlign w:val="bottom"/>
          </w:tcPr>
          <w:p>
            <w:pPr>
              <w:spacing w:after="0"/>
              <w:rPr>
                <w:sz w:val="17"/>
                <w:szCs w:val="17"/>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39,200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W. J. Chase</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4,266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4,266—2/20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9,000—2/19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8,933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3,000</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6,334—2/18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6,333—2/18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6,333—2/18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6,133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L. J. Schumacher</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21,633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21,633—2/20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32,000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32,000—2/19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38,666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15,266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57,500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19,167—2/18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26,400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40,900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C. Alban</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7,000—10/15</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4,166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23,066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4,900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(d)</w:t>
            </w:r>
          </w:p>
        </w:tc>
        <w:tc>
          <w:tcPr>
            <w:tcW w:w="820" w:type="dxa"/>
            <w:vAlign w:val="bottom"/>
          </w:tcPr>
          <w:p>
            <w:pPr>
              <w:spacing w:after="0"/>
              <w:rPr>
                <w:sz w:val="18"/>
                <w:szCs w:val="18"/>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45,800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15,267—2/18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15,733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J. M. Leonard</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19,133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31,200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10,400—2/18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13,066</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1680" w:hanging="533"/>
        <w:spacing w:after="0" w:line="309" w:lineRule="auto"/>
        <w:tabs>
          <w:tab w:leader="none" w:pos="1680"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These are the shares of restricted stock that remained outstanding and unvested on December 31, 2011, from an award made on February 20, 2009. The award has a five-year term, with no more than one-third of the original award vesting in any year, and vests based on Abbott achieving a minimum return on equity target, measured at the end of the relevant year. In 2011, Abbott reached its minimum return on equity target and the final third of the award vested on February 29, 2012. Immediately following that date, the award was fully vested.</w:t>
      </w:r>
    </w:p>
    <w:p>
      <w:pPr>
        <w:spacing w:after="0" w:line="75" w:lineRule="exact"/>
        <w:rPr>
          <w:rFonts w:ascii="Arial" w:cs="Arial" w:eastAsia="Arial" w:hAnsi="Arial"/>
          <w:sz w:val="11"/>
          <w:szCs w:val="11"/>
          <w:color w:val="auto"/>
        </w:rPr>
      </w:pPr>
    </w:p>
    <w:p>
      <w:pPr>
        <w:ind w:left="1680" w:right="20" w:hanging="533"/>
        <w:spacing w:after="0" w:line="239" w:lineRule="auto"/>
        <w:tabs>
          <w:tab w:leader="none" w:pos="16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19, 2010.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two-thirds of the award were fully vested.</w:t>
      </w:r>
    </w:p>
    <w:p>
      <w:pPr>
        <w:spacing w:after="0" w:line="112" w:lineRule="exact"/>
        <w:rPr>
          <w:rFonts w:ascii="Arial" w:cs="Arial" w:eastAsia="Arial" w:hAnsi="Arial"/>
          <w:sz w:val="13"/>
          <w:szCs w:val="13"/>
          <w:color w:val="auto"/>
        </w:rPr>
      </w:pPr>
    </w:p>
    <w:p>
      <w:pPr>
        <w:ind w:left="1680" w:hanging="533"/>
        <w:spacing w:after="0" w:line="239" w:lineRule="auto"/>
        <w:tabs>
          <w:tab w:leader="none" w:pos="16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18, 2011.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one-third of the award was fully vested.</w:t>
      </w:r>
    </w:p>
    <w:p>
      <w:pPr>
        <w:spacing w:after="0" w:line="112" w:lineRule="exact"/>
        <w:rPr>
          <w:rFonts w:ascii="Arial" w:cs="Arial" w:eastAsia="Arial" w:hAnsi="Arial"/>
          <w:sz w:val="13"/>
          <w:szCs w:val="13"/>
          <w:color w:val="auto"/>
        </w:rPr>
      </w:pPr>
    </w:p>
    <w:p>
      <w:pPr>
        <w:ind w:left="1680" w:right="20" w:hanging="533"/>
        <w:spacing w:after="0" w:line="243" w:lineRule="auto"/>
        <w:tabs>
          <w:tab w:leader="none" w:pos="16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These are the restricted units that remained outstanding and unvested on December 31, 2011, from an award made on October 15, 2009. The award has a 5-year term with no more than one-third of the original award vesting in any one year upon Abbott reaching a minimum equity target, measured at the end of the relevant year. In 2011, Abbott reached its minimum return on equity target and these units vested on October 15, 2012.</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2011 Option Exercises and Stock Vested</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table summarizes for each named executive officer the number of shares the named executive officer acquired upon the exercise of stock options and the number of shares the named executive officer acquired upon the vesting of stock awards in 2011:</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32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400" w:type="dxa"/>
            <w:vAlign w:val="bottom"/>
            <w:gridSpan w:val="5"/>
          </w:tcPr>
          <w:p>
            <w:pPr>
              <w:ind w:left="7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2"/>
              <w:spacing w:after="0" w:line="124" w:lineRule="exact"/>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
              <w:spacing w:after="0" w:line="12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Realized</w:t>
            </w:r>
          </w:p>
        </w:tc>
        <w:tc>
          <w:tcPr>
            <w:tcW w:w="0" w:type="dxa"/>
            <w:vAlign w:val="bottom"/>
          </w:tcPr>
          <w:p>
            <w:pPr>
              <w:spacing w:after="0"/>
              <w:rPr>
                <w:sz w:val="1"/>
                <w:szCs w:val="1"/>
                <w:color w:val="auto"/>
              </w:rPr>
            </w:pPr>
          </w:p>
        </w:tc>
      </w:tr>
      <w:tr>
        <w:trPr>
          <w:trHeight w:val="157"/>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Vesting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4,959,081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W. J. Chase</w:t>
            </w:r>
          </w:p>
        </w:tc>
        <w:tc>
          <w:tcPr>
            <w:tcW w:w="1100" w:type="dxa"/>
            <w:vAlign w:val="bottom"/>
          </w:tcPr>
          <w:p>
            <w:pPr>
              <w:jc w:val="right"/>
              <w:spacing w:after="0"/>
              <w:rPr>
                <w:sz w:val="20"/>
                <w:szCs w:val="20"/>
                <w:color w:val="auto"/>
              </w:rPr>
            </w:pPr>
            <w:r>
              <w:rPr>
                <w:rFonts w:ascii="Arial" w:cs="Arial" w:eastAsia="Arial" w:hAnsi="Arial"/>
                <w:sz w:val="17"/>
                <w:szCs w:val="17"/>
                <w:color w:val="auto"/>
              </w:rPr>
              <w:t>14,709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86,297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C. Alban</w:t>
            </w:r>
          </w:p>
        </w:tc>
        <w:tc>
          <w:tcPr>
            <w:tcW w:w="1100" w:type="dxa"/>
            <w:vAlign w:val="bottom"/>
          </w:tcPr>
          <w:p>
            <w:pPr>
              <w:jc w:val="right"/>
              <w:spacing w:after="0"/>
              <w:rPr>
                <w:sz w:val="20"/>
                <w:szCs w:val="20"/>
                <w:color w:val="auto"/>
              </w:rPr>
            </w:pPr>
            <w:r>
              <w:rPr>
                <w:rFonts w:ascii="Arial" w:cs="Arial" w:eastAsia="Arial" w:hAnsi="Arial"/>
                <w:sz w:val="17"/>
                <w:szCs w:val="17"/>
                <w:color w:val="auto"/>
              </w:rPr>
              <w:t>4,787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6,582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966,641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right="220" w:firstLine="338"/>
        <w:spacing w:after="0" w:line="261" w:lineRule="auto"/>
        <w:rPr>
          <w:sz w:val="20"/>
          <w:szCs w:val="20"/>
          <w:color w:val="auto"/>
        </w:rPr>
      </w:pPr>
      <w:r>
        <w:rPr>
          <w:rFonts w:ascii="Arial" w:cs="Arial" w:eastAsia="Arial" w:hAnsi="Arial"/>
          <w:sz w:val="17"/>
          <w:szCs w:val="17"/>
          <w:color w:val="auto"/>
        </w:rPr>
        <w:t>The named executive officers, other than Mr. Gonzalez, actively participate in two Abbott-sponsored defined benefit pension plans: the Abbott Laboratories Annuity Retirement Plan, a tax-qualified pension plan; and the Abbott Laboratories Supplemental Pension Plan, a non-qualified supplemental pension plan. The Supplemental Pension Plan also includes a benefit feature Abbott uses to attract executive officers who are at the mid-point of their career. This feature provides an additional benefit to executive officers who are mid-career hires that is less valuable to executive officers who have spent most of their career at Abbott. Except as provided in Abbott's change in control agreements, Abbott does not have a policy granting extra years of credited service under the plans. The change in control agreements to which several of the named executive officers are party are described in this section under "—Potential Payments on Termination or Change of Control."</w:t>
      </w:r>
    </w:p>
    <w:p>
      <w:pPr>
        <w:spacing w:after="0" w:line="190"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compensation considered in determining the pensions payable to the named executive officers is the compensation shown in the "Salary" and "Non-Equity Incentive Plan Compensation" columns of the Summary Compensation Table in this information statement.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Annuity Retirement Plan</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Annuity Retirement Plan covers most Abbott employees in the United States, age 21 or older, and provides participants with a life annuity benefit at normal retirement equal to A plus the greater of B or C below.</w:t>
      </w:r>
    </w:p>
    <w:p>
      <w:pPr>
        <w:spacing w:after="0" w:line="183" w:lineRule="exact"/>
        <w:rPr>
          <w:sz w:val="20"/>
          <w:szCs w:val="20"/>
          <w:color w:val="auto"/>
        </w:rPr>
      </w:pPr>
    </w:p>
    <w:p>
      <w:pPr>
        <w:ind w:left="1060" w:hanging="531"/>
        <w:spacing w:after="0"/>
        <w:tabs>
          <w:tab w:leader="none" w:pos="10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after 2003.</w:t>
      </w:r>
    </w:p>
    <w:p>
      <w:pPr>
        <w:spacing w:after="0" w:line="250" w:lineRule="exact"/>
        <w:rPr>
          <w:rFonts w:ascii="Arial" w:cs="Arial" w:eastAsia="Arial" w:hAnsi="Arial"/>
          <w:sz w:val="17"/>
          <w:szCs w:val="17"/>
          <w:color w:val="auto"/>
        </w:rPr>
      </w:pPr>
    </w:p>
    <w:p>
      <w:pPr>
        <w:ind w:left="1060" w:right="380" w:hanging="531"/>
        <w:spacing w:after="0" w:line="315" w:lineRule="auto"/>
        <w:tabs>
          <w:tab w:leader="none" w:pos="10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1.65 percent of five-year final average earnings multiplied by years of benefit service prior to 2004 (up to 20); plus 1.50 percent of five-year final average earnings multiplied by years of benefit service prior to 2004 in excess of 20 (but no more than 15 additional years); less</w:t>
      </w:r>
    </w:p>
    <w:p>
      <w:pPr>
        <w:spacing w:after="0" w:line="146" w:lineRule="exact"/>
        <w:rPr>
          <w:rFonts w:ascii="Arial" w:cs="Arial" w:eastAsia="Arial" w:hAnsi="Arial"/>
          <w:sz w:val="16"/>
          <w:szCs w:val="16"/>
          <w:color w:val="auto"/>
        </w:rPr>
      </w:pPr>
    </w:p>
    <w:p>
      <w:pPr>
        <w:ind w:left="1060" w:right="500"/>
        <w:spacing w:after="0" w:line="282" w:lineRule="auto"/>
        <w:rPr>
          <w:rFonts w:ascii="Arial" w:cs="Arial" w:eastAsia="Arial" w:hAnsi="Arial"/>
          <w:sz w:val="16"/>
          <w:szCs w:val="16"/>
          <w:color w:val="auto"/>
        </w:rPr>
      </w:pPr>
      <w:r>
        <w:rPr>
          <w:rFonts w:ascii="Arial" w:cs="Arial" w:eastAsia="Arial" w:hAnsi="Arial"/>
          <w:sz w:val="17"/>
          <w:szCs w:val="17"/>
          <w:color w:val="auto"/>
        </w:rPr>
        <w:t>0.50 percent of the lesser of three-year final average earnings (but not more than the social security wage base in any year) or the social security covered compensation level multiplied by years of benefit service.</w:t>
      </w:r>
    </w:p>
    <w:p>
      <w:pPr>
        <w:spacing w:after="0" w:line="182" w:lineRule="exact"/>
        <w:rPr>
          <w:rFonts w:ascii="Arial" w:cs="Arial" w:eastAsia="Arial" w:hAnsi="Arial"/>
          <w:sz w:val="16"/>
          <w:szCs w:val="16"/>
          <w:color w:val="auto"/>
        </w:rPr>
      </w:pPr>
    </w:p>
    <w:p>
      <w:pPr>
        <w:ind w:left="1060" w:hanging="531"/>
        <w:spacing w:after="0"/>
        <w:tabs>
          <w:tab w:leader="none" w:pos="10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prior to 2004.</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Annuity Retirement Plan covers earnings up to the limit imposed by Code Section 401(a)(17) and provides for a maximum of 35 years of benefit service.</w:t>
      </w:r>
    </w:p>
    <w:p>
      <w:pPr>
        <w:spacing w:after="0" w:line="179"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prior to 2004 who terminate employment prior to age 50 with at least 10 years of service may choose to commence their benefits on an actuarially reduced basis as early as age 50. Employees hired prior to 2004 who terminate employment prior to age 50 with fewer than 10 years of service may choose to commence their benefits on an actuarially reduced basis as early as age 55.</w:t>
      </w:r>
    </w:p>
    <w:p>
      <w:pPr>
        <w:spacing w:after="0" w:line="174" w:lineRule="exact"/>
        <w:rPr>
          <w:sz w:val="20"/>
          <w:szCs w:val="20"/>
          <w:color w:val="auto"/>
        </w:rPr>
      </w:pPr>
    </w:p>
    <w:p>
      <w:pPr>
        <w:ind w:right="580" w:firstLine="338"/>
        <w:spacing w:after="0" w:line="352" w:lineRule="auto"/>
        <w:rPr>
          <w:sz w:val="20"/>
          <w:szCs w:val="20"/>
          <w:color w:val="auto"/>
        </w:rPr>
      </w:pPr>
      <w:r>
        <w:rPr>
          <w:rFonts w:ascii="Arial" w:cs="Arial" w:eastAsia="Arial" w:hAnsi="Arial"/>
          <w:sz w:val="15"/>
          <w:szCs w:val="15"/>
          <w:color w:val="auto"/>
        </w:rPr>
        <w:t>The Annuity Retirement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2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Employees who retire from Abbott prior to their normal retirement age may receive subsidized early retirement benefits. Employees hired after 2003 are eligible for early retirement at age 55 with 10 years of service. Employees hired prior to 2004 are eligible for early retirement at age 50 with 10 years of service or age 55 if the employee's age plus years of benefit service total 70 or more. Mr. Leonard is eligible for early retirement benefits under the plan.</w:t>
      </w:r>
    </w:p>
    <w:p>
      <w:pPr>
        <w:spacing w:after="0" w:line="163"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five percent per year for each year that payments are made before age 62. If the participant retires after reaching age 50 but prior to reaching age 55, the benefit is actuarially reduced from age 65.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early retirement reductions applied to the benefit payable for service prior to 2004 (B and C above) depend upon age and service at retirement:</w:t>
      </w:r>
    </w:p>
    <w:p>
      <w:pPr>
        <w:spacing w:after="0" w:line="249" w:lineRule="exact"/>
        <w:rPr>
          <w:sz w:val="20"/>
          <w:szCs w:val="20"/>
          <w:color w:val="auto"/>
        </w:rPr>
      </w:pPr>
    </w:p>
    <w:p>
      <w:pPr>
        <w:ind w:left="1060" w:right="60" w:hanging="531"/>
        <w:spacing w:after="0" w:line="270" w:lineRule="auto"/>
        <w:tabs>
          <w:tab w:leader="none" w:pos="10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general, the five-year final average earnings portions of the benefit are reduced three percent per year for each year that payments are made before age 62 and the three-year final average earnings portion of the benefit is reduced five percent per year for each year that payments are made before age 62.</w:t>
      </w:r>
    </w:p>
    <w:p>
      <w:pPr>
        <w:spacing w:after="0" w:line="205"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five-year final average earnings portions of the benefit in B above are reduced 1</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xml:space="preserve"> percent for each year between ages 59 and 62 plus</w:t>
      </w:r>
    </w:p>
    <w:p>
      <w:pPr>
        <w:spacing w:after="0" w:line="2" w:lineRule="exact"/>
        <w:rPr>
          <w:rFonts w:ascii="Arial" w:cs="Arial" w:eastAsia="Arial" w:hAnsi="Arial"/>
          <w:sz w:val="15"/>
          <w:szCs w:val="15"/>
          <w:color w:val="auto"/>
        </w:rPr>
      </w:pPr>
    </w:p>
    <w:p>
      <w:pPr>
        <w:ind w:left="1060" w:right="20"/>
        <w:spacing w:after="0" w:line="209" w:lineRule="auto"/>
        <w:rPr>
          <w:rFonts w:ascii="Arial" w:cs="Arial" w:eastAsia="Arial" w:hAnsi="Arial"/>
          <w:sz w:val="15"/>
          <w:szCs w:val="15"/>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three-year final average earnings portion of the benefit is reduced five percent per year for each year that payments are made before age 62. Benefit C is payable on an unreduced basis at Special Retirement and is reduced three percent per year for each year that payments are made before age 62, if Early Special Retirement applies.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Supplemental Pension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the following exceptions, the provisions of the Supplemental Pension Plan are substantially the same as those of the Annuity Retirement Plan:</w:t>
      </w:r>
    </w:p>
    <w:p>
      <w:pPr>
        <w:spacing w:after="0" w:line="237" w:lineRule="exact"/>
        <w:rPr>
          <w:sz w:val="20"/>
          <w:szCs w:val="20"/>
          <w:color w:val="auto"/>
        </w:rPr>
      </w:pPr>
    </w:p>
    <w:p>
      <w:pPr>
        <w:ind w:left="1060" w:right="740" w:hanging="531"/>
        <w:spacing w:after="0" w:line="352" w:lineRule="auto"/>
        <w:tabs>
          <w:tab w:leader="none" w:pos="106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Under the Supplemental Pension Plan, executive officers' five-year final average earnings are calculated using the average of the five highest consecutive years of base earnings and the five highest consecutive years of payments under Abbott's non-equity incentive plans.</w:t>
      </w:r>
    </w:p>
    <w:p>
      <w:pPr>
        <w:spacing w:after="0" w:line="149" w:lineRule="exact"/>
        <w:rPr>
          <w:rFonts w:ascii="Arial" w:cs="Arial" w:eastAsia="Arial" w:hAnsi="Arial"/>
          <w:sz w:val="15"/>
          <w:szCs w:val="15"/>
          <w:color w:val="auto"/>
        </w:rPr>
      </w:pPr>
    </w:p>
    <w:p>
      <w:pPr>
        <w:ind w:left="1060" w:right="80" w:hanging="531"/>
        <w:spacing w:after="0" w:line="263"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Annuity Retirement Plan does not include amounts deferred or payments received under the Abbott Laboratories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 Beginning in the year following their election as an officer, Abbott executive officers are no longer eligible to defer compensation under the Deferred Compensation Plan.</w:t>
      </w:r>
    </w:p>
    <w:p>
      <w:pPr>
        <w:spacing w:after="0" w:line="200" w:lineRule="exact"/>
        <w:rPr>
          <w:rFonts w:ascii="Arial" w:cs="Arial" w:eastAsia="Arial" w:hAnsi="Arial"/>
          <w:sz w:val="17"/>
          <w:szCs w:val="17"/>
          <w:color w:val="auto"/>
        </w:rPr>
      </w:pPr>
    </w:p>
    <w:p>
      <w:pPr>
        <w:ind w:left="1060" w:right="40" w:hanging="531"/>
        <w:spacing w:after="0" w:line="303" w:lineRule="auto"/>
        <w:tabs>
          <w:tab w:leader="none" w:pos="106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In addition to the benefits outlined above for the Annuity Retirement Plan, officers are eligible for a benefit equal to 0.6 percent of five-year final average earnings for each year of service for each of the first 20 years of service occurring after the participant attains age 35. The benefit is further limited by the maximum percentage allowed under the Annuity Retirement Plan benefit formulas (A, B and C above). The portion of this additional officer benefit attributable to service prior to 2004 is reduced three percent per year for each year that payments are made before age 60. The portion attributable to service after 2003 is reduced five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74"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Annuity Retirement Plan. The benefits provided to officers under the Supplemental Pension Plan are not, however, reduced for the period between age 60 and age 62, unless the benefit is being actuarially reduced from age 65. Mr. Leonard is eligible for early retirement benefits under the plan.</w:t>
      </w:r>
    </w:p>
    <w:p>
      <w:pPr>
        <w:spacing w:after="0" w:line="205" w:lineRule="exact"/>
        <w:rPr>
          <w:rFonts w:ascii="Arial" w:cs="Arial" w:eastAsia="Arial" w:hAnsi="Arial"/>
          <w:sz w:val="17"/>
          <w:szCs w:val="17"/>
          <w:color w:val="auto"/>
        </w:rPr>
      </w:pPr>
    </w:p>
    <w:p>
      <w:pPr>
        <w:ind w:left="1060" w:hanging="531"/>
        <w:spacing w:after="0" w:line="306" w:lineRule="auto"/>
        <w:tabs>
          <w:tab w:leader="none" w:pos="106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Vested plan benefits accrued under the Supplemental Pension Plan may be funded through a grantor trust established by the officer. Consistent with the distribution requirements of Section 409A of the Internal Revenue Code and its regulations, those officers who were elected prior to 2009 may have the entire amount of their vested plan benefits funded through a grantor trust. Executive officers elected after 2008 may have only the vested plan benefits that accrue following the calendar year in which the officer is first elected funded through a grantor trust. Vested plan benefits accrued through December 31, 2008, to the extent not previously funded, were distributed to the participants' individual trusts and included in the participants' income.</w:t>
      </w:r>
    </w:p>
    <w:p>
      <w:pPr>
        <w:spacing w:after="0" w:line="15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Benefits payable under the Supplemental Pension Plan are offset by the benefits payable from the Annuity Retirement Plan, calculated as if benefits under the plans commenced at the same time. The amounts paid to an officer's Supplemental Pension Plan grantor trust to fund plan benefits are actuarially determined. The plan is designed to result in Abbott paying the officer's Supplemental Pension Plan benefits to the extent assets held in the officer's trust are insufficient.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80" w:type="dxa"/>
            <w:vAlign w:val="bottom"/>
          </w:tcPr>
          <w:p>
            <w:pPr>
              <w:spacing w:after="0"/>
              <w:rPr>
                <w:sz w:val="13"/>
                <w:szCs w:val="13"/>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87"/>
              </w:rPr>
              <w:t>Present</w:t>
            </w:r>
          </w:p>
        </w:tc>
        <w:tc>
          <w:tcPr>
            <w:tcW w:w="2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7"/>
              </w:rPr>
              <w:t>Payments</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Years</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Value of</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5"/>
              </w:rPr>
              <w:t>During</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Credited</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89"/>
              </w:rPr>
              <w:t>Last Fiscal</w:t>
            </w:r>
          </w:p>
        </w:tc>
      </w:tr>
      <w:tr>
        <w:trPr>
          <w:trHeight w:val="176"/>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800" w:type="dxa"/>
            <w:vAlign w:val="bottom"/>
          </w:tcPr>
          <w:p>
            <w:pPr>
              <w:ind w:left="1180"/>
              <w:spacing w:after="0"/>
              <w:rPr>
                <w:sz w:val="20"/>
                <w:szCs w:val="20"/>
                <w:color w:val="auto"/>
              </w:rPr>
            </w:pPr>
            <w:r>
              <w:rPr>
                <w:rFonts w:ascii="Arial" w:cs="Arial" w:eastAsia="Arial" w:hAnsi="Arial"/>
                <w:sz w:val="13"/>
                <w:szCs w:val="13"/>
                <w:b w:val="1"/>
                <w:bCs w:val="1"/>
                <w:color w:val="auto"/>
              </w:rPr>
              <w:t>Plan Name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Service (#)</w:t>
            </w:r>
          </w:p>
        </w:tc>
        <w:tc>
          <w:tcPr>
            <w:tcW w:w="18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93"/>
              </w:rPr>
              <w:t>Benefit ($)(1)</w:t>
            </w:r>
          </w:p>
        </w:tc>
        <w:tc>
          <w:tcPr>
            <w:tcW w:w="22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2"/>
              </w:rPr>
              <w:t>Year ($)</w:t>
            </w:r>
          </w:p>
        </w:tc>
      </w:tr>
      <w:tr>
        <w:trPr>
          <w:trHeight w:val="201"/>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 A. Gonzalez(3)</w:t>
            </w:r>
          </w:p>
        </w:tc>
        <w:tc>
          <w:tcPr>
            <w:tcW w:w="2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Abbott Laboratories Annuity</w:t>
            </w: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60,389</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10,779,349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W. J. Chase</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271,026</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578,273</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43,262(2)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 J. Schumacher</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310,089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3,052,749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192,567(2)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C. Alban</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388,060</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1,562,544</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161,740(2)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J. M. Leonard</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467,435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3,181,668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363,923(2)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Abbott calculates these present values using: (i) a 5.18 percent discount rate, the same discount rate it uses for Financial Accounting Standards Board ASC Topic 715 calculations for financial reporting purposes; and (ii) each plan's unreduced retirement age, which is age 62 under the Abbott Laboratories Annuity Retirement Plan, age 60 under the Abbott Laboratories Supplemental Pension Plan for those executive officers who are eligible for early retirement benefits, and age 65 under both plans for other executive officers. The present values shown in the table reflect postretirement mortality, based on the Financial Accounting Standards Board ASC Topic 715 assumption (the RP2000 Combined Healthy table), but do not include a factor for preretirement termination, mortality, or disability.</w:t>
      </w:r>
    </w:p>
    <w:p>
      <w:pPr>
        <w:spacing w:after="0" w:line="201" w:lineRule="exact"/>
        <w:rPr>
          <w:rFonts w:ascii="Arial" w:cs="Arial" w:eastAsia="Arial" w:hAnsi="Arial"/>
          <w:sz w:val="16"/>
          <w:szCs w:val="16"/>
          <w:color w:val="auto"/>
        </w:rPr>
      </w:pPr>
    </w:p>
    <w:p>
      <w:pPr>
        <w:ind w:left="1680" w:hanging="533"/>
        <w:spacing w:after="0" w:line="311" w:lineRule="auto"/>
        <w:tabs>
          <w:tab w:leader="none" w:pos="168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Consistent with the distribution requirements of Section 409A of the Internal Revenue Code and its regulations, vested Supplemental Pension Plan benefits, to the extent not previously funded, were distributed to the participants' individual grantor trusts and included in the participants' income. Amounts held in the officer's individual trust are expected to offset Abbott's obligations to the officer under the plan. During 2011, the amounts shown, less applicable tax withholdings, were deposited in such individual trusts established by the named executive officers.</w:t>
      </w:r>
    </w:p>
    <w:p>
      <w:pPr>
        <w:spacing w:after="0" w:line="167" w:lineRule="exact"/>
        <w:rPr>
          <w:rFonts w:ascii="Arial" w:cs="Arial" w:eastAsia="Arial" w:hAnsi="Arial"/>
          <w:sz w:val="15"/>
          <w:szCs w:val="15"/>
          <w:color w:val="auto"/>
        </w:rPr>
      </w:pPr>
    </w:p>
    <w:p>
      <w:pPr>
        <w:ind w:left="1680" w:right="80" w:hanging="533"/>
        <w:spacing w:after="0" w:line="322" w:lineRule="auto"/>
        <w:tabs>
          <w:tab w:leader="none" w:pos="168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Mr. Gonzalez was not as of December 31, 2011 accruing further benefits under these Abbott plans. Mr. Gonzalez retired from Abbott in 2007 and began receiving payments from the Abbott Laboratories Annuity Retirement Plan and distributions from his Abbott Laboratories Supplemental Pension Plan grantor trust. When he returned to work at Abbott in 2009, these payments and distributions continued.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Nonqualified Deferred Compensation</w:t>
      </w:r>
    </w:p>
    <w:p>
      <w:pPr>
        <w:spacing w:after="0" w:line="228"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Abbott Laboratories Deferred Compensation Plan. Mr. Chase, Ms. Schumacher, and Abbott have not contributed to accounts under the plan since such time as Mr. Chase and Ms. Schumacher, respectively, became Abbott officers. None of the other named executive officers has any non-qualified deferred compensation.</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4"/>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left="31"/>
              <w:spacing w:after="0"/>
              <w:rPr>
                <w:sz w:val="20"/>
                <w:szCs w:val="20"/>
                <w:color w:val="auto"/>
              </w:rPr>
            </w:pPr>
            <w:r>
              <w:rPr>
                <w:rFonts w:ascii="Arial" w:cs="Arial" w:eastAsia="Arial" w:hAnsi="Arial"/>
                <w:sz w:val="13"/>
                <w:szCs w:val="13"/>
                <w:b w:val="1"/>
                <w:bCs w:val="1"/>
                <w:color w:val="auto"/>
                <w:w w:val="90"/>
              </w:rPr>
              <w:t>Registrant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Aggregate</w:t>
            </w:r>
          </w:p>
        </w:tc>
        <w:tc>
          <w:tcPr>
            <w:tcW w:w="860" w:type="dxa"/>
            <w:vAlign w:val="bottom"/>
          </w:tcPr>
          <w:p>
            <w:pPr>
              <w:jc w:val="center"/>
              <w:ind w:left="31"/>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Aggregate</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earnings in last</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2"/>
              </w:rPr>
              <w:t>withdrawals/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balance at</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FY</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1"/>
              </w:rPr>
              <w:t>distributions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last FYE</w:t>
            </w: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Plan Name</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4"/>
              </w:rPr>
              <w:t>($)(3)</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40" w:type="dxa"/>
            <w:vAlign w:val="bottom"/>
          </w:tcPr>
          <w:p>
            <w:pPr>
              <w:spacing w:after="0"/>
              <w:rPr>
                <w:sz w:val="13"/>
                <w:szCs w:val="13"/>
                <w:color w:val="auto"/>
              </w:rPr>
            </w:pPr>
          </w:p>
        </w:tc>
      </w:tr>
      <w:tr>
        <w:trPr>
          <w:trHeight w:val="194"/>
        </w:trPr>
        <w:tc>
          <w:tcPr>
            <w:tcW w:w="17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 J. Chase</w:t>
            </w:r>
          </w:p>
        </w:tc>
        <w:tc>
          <w:tcPr>
            <w:tcW w:w="1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w:t>
            </w:r>
          </w:p>
        </w:tc>
        <w:tc>
          <w:tcPr>
            <w:tcW w:w="10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w:t>
            </w:r>
          </w:p>
        </w:tc>
        <w:tc>
          <w:tcPr>
            <w:tcW w:w="860" w:type="dxa"/>
            <w:vAlign w:val="bottom"/>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47,743</w:t>
            </w:r>
          </w:p>
        </w:tc>
      </w:tr>
      <w:tr>
        <w:trPr>
          <w:trHeight w:val="372"/>
        </w:trPr>
        <w:tc>
          <w:tcPr>
            <w:tcW w:w="1720" w:type="dxa"/>
            <w:vAlign w:val="bottom"/>
            <w:gridSpan w:val="2"/>
          </w:tcPr>
          <w:p>
            <w:pPr>
              <w:spacing w:after="0"/>
              <w:rPr>
                <w:sz w:val="20"/>
                <w:szCs w:val="20"/>
                <w:color w:val="auto"/>
              </w:rPr>
            </w:pPr>
            <w:r>
              <w:rPr>
                <w:rFonts w:ascii="Arial" w:cs="Arial" w:eastAsia="Arial" w:hAnsi="Arial"/>
                <w:sz w:val="17"/>
                <w:szCs w:val="17"/>
                <w:color w:val="auto"/>
              </w:rPr>
              <w:t>L. J. Schumacher</w:t>
            </w:r>
          </w:p>
        </w:tc>
        <w:tc>
          <w:tcPr>
            <w:tcW w:w="15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(9,616)</w:t>
            </w:r>
          </w:p>
        </w:tc>
        <w:tc>
          <w:tcPr>
            <w:tcW w:w="8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236,209</w:t>
            </w:r>
          </w:p>
        </w:tc>
      </w:tr>
      <w:tr>
        <w:trPr>
          <w:trHeight w:val="107"/>
        </w:trPr>
        <w:tc>
          <w:tcPr>
            <w:tcW w:w="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Ms. Schumacher's and Mr. Chase's contributions to the Deferred Compensation Plan ceased after they became Abbott officers.</w:t>
      </w:r>
    </w:p>
    <w:p>
      <w:pPr>
        <w:spacing w:after="0" w:line="250" w:lineRule="exact"/>
        <w:rPr>
          <w:rFonts w:ascii="Arial" w:cs="Arial" w:eastAsia="Arial" w:hAnsi="Arial"/>
          <w:sz w:val="17"/>
          <w:szCs w:val="17"/>
          <w:color w:val="auto"/>
        </w:rPr>
      </w:pPr>
    </w:p>
    <w:p>
      <w:pPr>
        <w:ind w:left="1680" w:hanging="533"/>
        <w:spacing w:after="0" w:line="262" w:lineRule="auto"/>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plan permits participants to defer up to 75 percent of their base salary and up to 100 percent of their annual cash incentives and credits a participant's account with an amount equal to the employer matching contributions that otherwise would have been made for the participant under Abbott's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2011, the weighted average rate of return credited to accounts was -3.91 percent for Ms. Schumacher and -2.28 percent for Mr. Chase.</w:t>
      </w:r>
    </w:p>
    <w:p>
      <w:pPr>
        <w:spacing w:after="0" w:line="187" w:lineRule="exact"/>
        <w:rPr>
          <w:rFonts w:ascii="Arial" w:cs="Arial" w:eastAsia="Arial" w:hAnsi="Arial"/>
          <w:sz w:val="17"/>
          <w:szCs w:val="17"/>
          <w:color w:val="auto"/>
        </w:rPr>
      </w:pPr>
    </w:p>
    <w:p>
      <w:pPr>
        <w:ind w:left="1680" w:right="100"/>
        <w:spacing w:after="0" w:line="311" w:lineRule="auto"/>
        <w:rPr>
          <w:rFonts w:ascii="Arial" w:cs="Arial" w:eastAsia="Arial" w:hAnsi="Arial"/>
          <w:sz w:val="17"/>
          <w:szCs w:val="17"/>
          <w:color w:val="auto"/>
        </w:rPr>
      </w:pPr>
      <w:r>
        <w:rPr>
          <w:rFonts w:ascii="Arial" w:cs="Arial" w:eastAsia="Arial" w:hAnsi="Arial"/>
          <w:sz w:val="15"/>
          <w:szCs w:val="15"/>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67" w:lineRule="exact"/>
        <w:rPr>
          <w:rFonts w:ascii="Arial" w:cs="Arial" w:eastAsia="Arial" w:hAnsi="Arial"/>
          <w:sz w:val="17"/>
          <w:szCs w:val="17"/>
          <w:color w:val="auto"/>
        </w:rPr>
      </w:pPr>
    </w:p>
    <w:p>
      <w:pPr>
        <w:ind w:left="1680" w:hanging="533"/>
        <w:spacing w:after="0"/>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information statement.</w:t>
      </w:r>
    </w:p>
    <w:p>
      <w:pPr>
        <w:spacing w:after="0" w:line="237" w:lineRule="exact"/>
        <w:rPr>
          <w:rFonts w:ascii="Arial" w:cs="Arial" w:eastAsia="Arial" w:hAnsi="Arial"/>
          <w:sz w:val="17"/>
          <w:szCs w:val="17"/>
          <w:color w:val="auto"/>
        </w:rPr>
      </w:pPr>
    </w:p>
    <w:p>
      <w:pPr>
        <w:ind w:left="1680" w:right="100" w:hanging="533"/>
        <w:spacing w:after="0" w:line="282" w:lineRule="auto"/>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Abbott's Summary Compensation Tables because they relate to contributions made before the applicable individual became a named executive officer.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on Termination or Change of Control</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Termination—Generally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Abbott does not have employment agreements with any of the named executive officers.</w:t>
      </w:r>
    </w:p>
    <w:p>
      <w:pPr>
        <w:spacing w:after="0" w:line="224"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The following summarizes the payments that the named executive officers would have received if their employment had terminated on December 31, 2011. Earnings, fees, and tax payments would have continued to be paid for the named executive officer's Performance Incentive Plan, Management Incentive Plan, and Supplemental 401(k) Plan grantor trusts, until the trust assets were fully distributed, and fees would have continued to be paid for the named executive officer's Supplemental Pension Plan grantor trust, until its assets were fully distributed. The amount of these payments would depend on the period over which the trusts' assets were distributed, tax rates, and the trusts' earnings and fees. If the trusts' assets were distributed over a ten-year period and based on current tax rates, earnings, and fees, the named executive officers would receive the following average annual payments over such ten-year period: W. J. Chase, $37,024; L. J. Schumacher, $246,033; C. Alban, $107,022; and J. M. Leonard, $237,979. Pursuant to an election made at the time of his retirement in 2007, Mr. Gonzalez's trust assets began to be distributed over a 35-year period when he retired. Based on current tax rates, earnings and fees, and assuming the distributions continue during the remaining 31 years of the distribution period, he will receive an average annual payment of $270,963 over the distribution period. In addition, the following one-time deposits would have been made under the Abbott Laboratories Supplemental Pension Plan for each of the following named executive officers, respectively, W. J. Chase, $100,843; L. J. Schumacher, $375,242; C. Alban, $348,734; and J. M. Leonard, $228,130. As of December 31, 2011, Mr. Leonard was eligible to retire, and was therefore eligible to receive the pension benefits described above. If the termination of employment had been due to disability, then the following named executive officers also would have received, in addition to Abbott's standard disability benefits, a monthly long-term disability benefit in the amount of $13,750 for W. J. Chase; $49,167 for L. J. Schumacher; $25,417 for C. Alban; and $19,813 for J. M. Leonard. This long-term disability benefit would continue for up to 18 months following termination of employment. It ends if the officer retires, recovers, dies or ceases to meet eligibility criteria.</w:t>
      </w:r>
    </w:p>
    <w:p>
      <w:pPr>
        <w:spacing w:after="0" w:line="165"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In addition, if the named executive officer's employment had terminated due to death or disability, the officer's unvested stock options and restricted stock would have vested on December 31, 2011 with values as set forth below in this subsection under "—Accelerated Vesting of Equity Awards."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Change in Control</w:t>
      </w:r>
    </w:p>
    <w:p>
      <w:pPr>
        <w:spacing w:after="0" w:line="22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Abbott maintains change in control arrangements with key members of its management team, in the form of change in control agreements for certain Abbott officers, including Messrs. Alban and Chase, Ms. Schumacher, and Dr. Leonard, and a change in control plan for certain other management personnel. Abbott is not currently granting change in control agreements to new officers. The separation is not deemed a change in control under these agreements, which are described below.</w:t>
      </w:r>
    </w:p>
    <w:p>
      <w:pPr>
        <w:spacing w:after="0" w:line="14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Each agreement continues in effect until December 31, 2014, and at the end of each year is automatically extended through the third year thereafter unless Abbott notifies the executive that the agreement will not be extended. Each agreement also automatically extends through the second anniversary following any change in control (see below) that occurs while it is in effect.</w:t>
      </w:r>
    </w:p>
    <w:p>
      <w:pPr>
        <w:spacing w:after="0" w:line="17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Each agreement provides that if the executive's employment is terminated by Abbott within two years following a change in control other than for cause or permanent disability, if the executive terminates employment for good reason (see below) within two years following a change in control or, for Ms. Schumacher, Mr. Alban, and Dr. Leonard, if the executive terminates employment for any reason during the 30-day window period which begins six months after the date of a change in control, the executive is entitled to receive a lump sum payment equal to three times (two times, in the case of Mr. Chase) annual salary and annual incentive ("bonus") award (assuming for this purpose that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target performance goals have been achieved or, if higher, based on the average bonus for the last three years), plus any unpaid bonus owing for any completed performance period and the pro rata bonus for any current bonus period (based on the highest target bonus, average bonus for the past three years, or in the case of the unpaid bonus for any completed performance period, the actual bonus earned). If the executive's employment is terminated by Abbott other than for cause or permanent disability or if the executive terminates employment for good reason during a potential change in control (see below), the executive is entitled to receive a lump sum payment of the annual salary and bonus payments described above, except that the amount of the bonus to which the executive is entitled will be based on the actual achievement of the applicable performance goals. If the potential change in control becomes a "change in control event" (within the meaning of</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Section 409A of the Internal Revenue Code), the executive will be entitled to receive the difference between the bonus amounts he or she received upon termination during the potential change in control and the bonus amounts that would have been received had such amounts instead been based on the higher of the executive's target bonus or the average bonus paid to the executive in the preceding three years. Bonus payments include payments made under the Performance Incentive Plan and Management Incentive Plan. Upon a termination entitling the executive to severance under the agreement, the executive would also receive up to two years of outplacement services and tax and financial counseling; and the value of three additional years (two additional years, in the case of Mr. Chase) of pension accruals, and payment of any excise taxes imposed under Section 4999 of the Internal Revenue Code and other related taxes for which the executive is responsible as a result of receiving such reimbursement of excise taxes. The agreement also limits the conduct for which awards under Abbott's incentive stock programs can be terminated and generally permit options to remain exercisable for the remainder of their term. Independent compensation consultants confirm that the level of payments provided under the agreement is consistent with current market practice.</w:t>
      </w:r>
    </w:p>
    <w:p>
      <w:pPr>
        <w:spacing w:after="0" w:line="180"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Abbott securities representing 20 percent or more of Abbott's outstanding voting power (not including an acquisition directly from Abbott and its affiliates, subject to limited exceptions); a change in the majority of the members of the board of directors as of the date of the agreement (treating new directors whose appointment was approved by a vote of at least two-thirds of the incumbent directors as incumbent for this purpose); the consummation of certain mergers or similar corporate transactions involving Abbott; or the approval by shareholders of a plan of complete liquidation or dissolution. A "potential change in control" under the agreement includes Abbott's entry into an agreement that would result in a change in control; any person making a public announcement of the intention to take actions that would consummate a change in control; any person becoming the beneficial owner of Abbott securities representing 10 percent or more of Abbott's outstanding common stock or voting power; or the Abbott Board's adoption of a resolution that a potential change in control exists.</w:t>
      </w:r>
    </w:p>
    <w:p>
      <w:pPr>
        <w:spacing w:after="0" w:line="177"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term "good reason" includes: a significant adverse change in the executive's position, duties, or authority (including if the executive ceases to be an executive officer of a public company if he or she was before the change in control); Abbott's failure to pay the executive his or her current or deferred compensation; a reduction in, or a material change in the frequency of payment of, the executive's base salary; Abbott's failure to provide an annual bonus which is at least equal to the annual bonus the executive was awarded under Abbott's annual bonus plan in the year immediately preceding the change in control, equity-based incentive compensation consistent with Abbott's practices prior to the change in control, or benefits and perquisites that were provided to the executive prior to the change in control; relocation of Abbott's principal executive offices to a location that is more than 35 miles from the location of the offices at the time of the change in control or requiring the executive to be based anywhere other than the location where he or she primarily performs services immediately prior to the change in control; or Abbott's failure to obtain its successor's agreement to assume and perform Abbott's obligations under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Chase would have been entitled to receive the following payments and benefits under the change in control agreements: Cash termination payments—$1,740,000; Additional Supplemental Pension Plan benefits—$250,556; Welfare and fringe benefits—$64,397; Excise tax reimbursements—$1,124,543.</w:t>
      </w:r>
    </w:p>
    <w:p>
      <w:pPr>
        <w:spacing w:after="0" w:line="163"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Ms. Schumacher. She would have been entitled to receive the following payments and benefits under the change in control agreements: Cash termination payments—$7,202,500; Additional Supplemental Pension Plan benefits—$758,813; Welfare and fringe benefits—$94,245.</w:t>
      </w:r>
    </w:p>
    <w:p>
      <w:pPr>
        <w:spacing w:after="0" w:line="163"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Alban would have been entitled to receive the following payments and benefits under the change in control agreements: Cash termination payments—$4,270,000; Additional Supplemental Pension Plan benefits—$725,596; Welfare and fringe benefits—$93,837; Excise tax reimbursements—$3,101,641.</w:t>
      </w:r>
    </w:p>
    <w:p>
      <w:pPr>
        <w:spacing w:after="0" w:line="163"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Dr. Leonard. He would have been entitled to receive the following payments and benefits under the change in control agreements: Cash termination payments—$3,811,500; Additional Supplemental Pension Plan benefits—$1,920,262; Welfare and fringe benefits—$93,888.</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Accelerated Vesting of Equity Awards</w:t>
      </w:r>
    </w:p>
    <w:p>
      <w:pPr>
        <w:spacing w:after="0" w:line="224" w:lineRule="exact"/>
        <w:rPr>
          <w:sz w:val="20"/>
          <w:szCs w:val="20"/>
          <w:color w:val="auto"/>
        </w:rPr>
      </w:pPr>
    </w:p>
    <w:p>
      <w:pPr>
        <w:ind w:right="360" w:firstLine="341"/>
        <w:spacing w:after="0" w:line="322" w:lineRule="auto"/>
        <w:rPr>
          <w:sz w:val="20"/>
          <w:szCs w:val="20"/>
          <w:color w:val="auto"/>
        </w:rPr>
      </w:pPr>
      <w:r>
        <w:rPr>
          <w:rFonts w:ascii="Arial" w:cs="Arial" w:eastAsia="Arial" w:hAnsi="Arial"/>
          <w:sz w:val="15"/>
          <w:szCs w:val="15"/>
          <w:color w:val="auto"/>
        </w:rPr>
        <w:t>Under Abbott's incentive stock programs, upon a change in control all outstanding stock options, restricted stock and restricted stock units vest, including performance-based restricted stock, which is deemed earned in full. These programs, which were approved by Abbott's shareholders, cover approximately 14,000 participants, including a broad group of management and professional staff. If a change in control had occurred on December 31, 2011:</w:t>
      </w:r>
    </w:p>
    <w:p>
      <w:pPr>
        <w:spacing w:after="0" w:line="158" w:lineRule="exact"/>
        <w:rPr>
          <w:sz w:val="20"/>
          <w:szCs w:val="20"/>
          <w:color w:val="auto"/>
        </w:rPr>
      </w:pPr>
    </w:p>
    <w:p>
      <w:pPr>
        <w:ind w:left="1060" w:right="40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Mr. Gonzalez would have vested (1) in an aggregate of 55,100 unvested stock options with a value of $530,613, and (2) in an aggregate of 82,532 shares of restricted stock with a value equal to $4,640,774.</w:t>
      </w:r>
    </w:p>
    <w:p>
      <w:pPr>
        <w:spacing w:after="0" w:line="196"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Mr. Chase would have vested (1) in an aggregate of 32,199 unvested stock options with a value of $207,340, and (2) in an aggregate of 31,633 shares of restricted stock with a value equal to $1,778,724.</w:t>
      </w:r>
    </w:p>
    <w:p>
      <w:pPr>
        <w:spacing w:after="0" w:line="182"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Ms. Schumacher would have vested (1) in an aggregate of 117,799 unvested stock options with a value of $665,830, and (2) in an aggregate 114,566 shares of restricted stock with a value equal to $6,442,046.</w:t>
      </w:r>
    </w:p>
    <w:p>
      <w:pPr>
        <w:spacing w:after="0" w:line="182"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Mr. Alban would have vested (1) in an aggregate of 81,766 stock options with a value of $525,139, (2) in an aggregate of 69,233 shares of restricted stock with a value of $3,892,972, and (3) in an aggregate of 9,066 restricted stock units with a value of $509,781.</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Dr. Leonard would have vested (1) in an aggregate of 63,233 unvested stock options with a value of $360,517, and (2) in an aggregate of 65,332 shares of restricted stock with a value equal to $3,673,618.</w:t>
      </w:r>
    </w:p>
    <w:p>
      <w:pPr>
        <w:spacing w:after="0" w:line="170"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value of stock options shown is based on the excess of the closing price of an Abbott common share on December 31, 2011 over the exercise price of such options, multiplied by the number of unvested stock options held by the named executive officer. The value of shares of restricted stock shown is determined by multiplying the number of shares of restricted stock that would vest as of December 31, 2011 and the closing price of an Abbott common share on December 31, 2011.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Following the Separation</w:t>
      </w:r>
    </w:p>
    <w:p>
      <w:pPr>
        <w:spacing w:after="0" w:line="228"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It is expected that, prior to the completion of the separation, AbbVie will adopt the AbbVie Non-Employee Directors' Fee Plan (the AbbVie Directors' Fee Plan), which will contain terms substantially similar to those that apply currently to non-employee directors of Abbott.</w:t>
      </w:r>
    </w:p>
    <w:p>
      <w:pPr>
        <w:spacing w:after="0" w:line="170"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Pursuant to the AbbVie Directors' Fee Plan, non-employee directors will earn $10,500 for each month of service as a director and $1,000 for each month of service as a chairman of a board committee, other than for service as chairman of the audit committee or as chairman of the executive committee. The chairman of the audit committee will receive $1,500 for each month of service as chairman of that committee and the other members of the audit committee will receive $500 for each month of service as a committee member. The chairman of the executive committee will receive $1,600 for each month of service as chairman of that committee.</w:t>
      </w:r>
    </w:p>
    <w:p>
      <w:pPr>
        <w:spacing w:after="0" w:line="15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Fees earned under the AbbVie Directors' Fee Plan will be paid in cash to the director, paid in the form of vested nonqualified stock options (based on an independent appraisal of their fair value), deferred (as a non-funded obligation of AbbVie), or paid currently into an individual grantor trust established by the director. The distribution of deferred fees and amounts held in a director's grantor trust generally commences at the later of when the director reaches age 65, or upon retirement from the board of directors. The director may elect to have deferred fees and fees deposited in a grantor trust credited to either a stock equivalent account that earns the same return as if the fees were invested in AbbVie stock or to a guaranteed interest account. If necessary, AbbVie contributes funds to a director's grantor trust so that as of year-end, the stock equivalent account balance (net of taxes) is not less than 75 percent of the market value of the related AbbVie common stock at year end.</w:t>
      </w:r>
    </w:p>
    <w:p>
      <w:pPr>
        <w:spacing w:after="0" w:line="162"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addition, the AbbVie Incentive Stock Program will provide that each non-employee director elected to the board of directors at the annual stockholder meeting will receive vested restricted stock units having a value of $113,000 (rounded down to the nearest share) and will receive cash payments equal to the dividends paid on the shares of AbbVie common stock covered by the units at the same rate as other stockholders. Upon termination, retirement from the board, death, or a change in control of AbbVie, a non-employee director will receive one share of AbbVie common stock for each outstanding restricted stock unit the director holds under the AbbVie Incentive Stock Program.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 2013 Incentive Stock Program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 is expected that, prior to the completion of the separation, AbbVie will adopt an incentive stock program with terms substantially as set forth below.</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Purpose</w:t>
      </w:r>
    </w:p>
    <w:p>
      <w:pPr>
        <w:spacing w:after="0" w:line="224"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purposes of the AbbVie Incentive Stock Program are to attract and retain outstanding directors, officers and other employees of AbbVie and its subsidiaries, to furnish incentives to such individuals by providing opportunities to acquire shares of AbbVie common stock, or to receive monetary payments based on the value of such shares or on the financial performance of AbbVie, or both, on advantageous terms as provided in the AbbVie Incentive Stock Program, and to further align such individuals' interests with those of AbbVie's other stockholders through compensation that is based on the value of shares of AbbVie common stock. In addition, the AbbVie Incentive Stock Program is expected to provide for the assumption of certain awards (Adjusted Awards) granted under the incentive stock programs of Abbott and its subsidiaries and adjusted in connection with the separation, as will be described in the Employee Matters Agreement. To accomplish its purposes, the AbbVie Incentive Stock Program authorizes the grant of several different forms of benefits including nonqualified stock options, restricted stock awards, restricted stock units, performance awards, other share-based awards, and foreign benefits (the Benefits).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Shares Reserved Under the Program</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AbbVie Incentive Stock Program is also intended to enable compensation awarded to certain executives to qualify for the performance-based exception from the deductibility limitation of Code Section 162(m). The AbbVie Incentive Stock Program, as required by Code Section 162(m), sets the following maximums on the number of shares of AbbVie common stock subject to awards or dollar value of such awards on the date of grant that any individual participant can receive in any year under the program: 2 million shares subject to stock options or stock appreciation rights and $15 million under all performance awards for any one performance year for any one participant. Accordingly, if the other conditions of Code Section 162(m) relating to the exclusion for performance-based compensation are satisfied, certain compensation paid to executive officers pursuant to the AbbVie Incentive Stock Program will not be subject to the deduction limit of Code Section 162(m).</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AbbVie Incentive Stock Program authorizes the granting of stock options and other Benefits with respect to an aggregate of common stock, subject to adjustments as provided below.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million shares of</w:t>
      </w:r>
    </w:p>
    <w:p>
      <w:pPr>
        <w:spacing w:after="0" w:line="456" w:lineRule="exact"/>
        <w:rPr>
          <w:sz w:val="20"/>
          <w:szCs w:val="20"/>
          <w:color w:val="auto"/>
        </w:rPr>
      </w:pPr>
    </w:p>
    <w:p>
      <w:pPr>
        <w:sectPr>
          <w:pgSz w:w="11900" w:h="16838" w:orient="portrait"/>
          <w:cols w:equalWidth="0" w:num="2">
            <w:col w:w="9080" w:space="720"/>
            <w:col w:w="1620"/>
          </w:cols>
          <w:pgMar w:left="240" w:top="131" w:right="239" w:bottom="1440" w:gutter="0" w:footer="0" w:header="0"/>
          <w:type w:val="continuous"/>
        </w:sectPr>
      </w:pPr>
    </w:p>
    <w:p>
      <w:pPr>
        <w:ind w:right="60" w:firstLine="338"/>
        <w:spacing w:after="0" w:line="260" w:lineRule="auto"/>
        <w:rPr>
          <w:sz w:val="20"/>
          <w:szCs w:val="20"/>
          <w:color w:val="auto"/>
        </w:rPr>
      </w:pPr>
      <w:r>
        <w:rPr>
          <w:rFonts w:ascii="Arial" w:cs="Arial" w:eastAsia="Arial" w:hAnsi="Arial"/>
          <w:sz w:val="17"/>
          <w:szCs w:val="17"/>
          <w:color w:val="auto"/>
        </w:rPr>
        <w:t>The shares of common stock covered by the AbbVie Incentive Stock Program may be either authorized but unissued shares or shares that have been or may be reacquired by AbbVie in the open market, in private transactions, or otherwise. If there is a lapse, expiration, termination, forfeiture, or cancellation of any Benefit granted under the AbbVie Incentive Stock Program without the issuance of shares or payment of cash thereunder, the shares subject to such Benefit may again be used for the grant of new Benefits under the AbbVie Incentive Stock Program. Shares of common stock that are issued under any Benefit and thereafter reacquired by AbbVie pursuant to rights reserved upon the issuance of the shares or pursuant to the payment of the exercise price of stock options by delivery of other shares of AbbVie common stock, shares of common stock underlying stock options or stock-settled stock appreciation rights that are not issued upon the net exercise or net settlement of stock options or stock appreciation rights, and shares of common stock that are exchanged by the participant or withheld by AbbVie to satisfy tax withholding requirements in connection with any Benefit, in each case will not be available for subsequent awards under the AbbVie Incentive Stock Program. In addition, Benefits that may only be settled in cash will not reduce the number of shares of common stock available for subsequent awards under the AbbVie Incentive Stock Program.</w:t>
      </w:r>
    </w:p>
    <w:p>
      <w:pPr>
        <w:spacing w:after="0" w:line="190" w:lineRule="exact"/>
        <w:rPr>
          <w:sz w:val="20"/>
          <w:szCs w:val="20"/>
          <w:color w:val="auto"/>
        </w:rPr>
      </w:pPr>
    </w:p>
    <w:p>
      <w:pPr>
        <w:ind w:right="140" w:firstLine="332"/>
        <w:spacing w:after="0" w:line="270" w:lineRule="auto"/>
        <w:rPr>
          <w:sz w:val="20"/>
          <w:szCs w:val="20"/>
          <w:color w:val="auto"/>
        </w:rPr>
      </w:pPr>
      <w:r>
        <w:rPr>
          <w:rFonts w:ascii="Arial" w:cs="Arial" w:eastAsia="Arial" w:hAnsi="Arial"/>
          <w:sz w:val="17"/>
          <w:szCs w:val="17"/>
          <w:color w:val="auto"/>
        </w:rPr>
        <w:t>Any shares underlying Adjusted Awards will not count against the shares available for Benefits under the AbbVie Incentive Stock Program, nor will the lapse, expiration, termination, forfeiture, or cancellation of any Adjusted Award without the issuance of shares or payment of cash thereunder increase the number of shares that may be used for the grant of new Benefits under the AbbVie Incentive Stock Program.</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Administration</w:t>
      </w:r>
    </w:p>
    <w:p>
      <w:pPr>
        <w:spacing w:after="0" w:line="224" w:lineRule="exact"/>
        <w:rPr>
          <w:sz w:val="20"/>
          <w:szCs w:val="20"/>
          <w:color w:val="auto"/>
        </w:rPr>
      </w:pPr>
    </w:p>
    <w:p>
      <w:pPr>
        <w:ind w:right="200" w:firstLine="338"/>
        <w:spacing w:after="0" w:line="262" w:lineRule="auto"/>
        <w:rPr>
          <w:sz w:val="20"/>
          <w:szCs w:val="20"/>
          <w:color w:val="auto"/>
        </w:rPr>
      </w:pPr>
      <w:r>
        <w:rPr>
          <w:rFonts w:ascii="Arial" w:cs="Arial" w:eastAsia="Arial" w:hAnsi="Arial"/>
          <w:sz w:val="17"/>
          <w:szCs w:val="17"/>
          <w:color w:val="auto"/>
        </w:rPr>
        <w:t>The AbbVie Incentive Stock Program provides that grants of Benefits and other determinations under the AbbVie Incentive Stock Program will be made by the AbbVie Compensation Committee or such other committee consisting entirely of persons who are both: (i) "disinterested persons" as defined in Rule 16b-3 of the Securities Exchange Commission; and (ii) "outside directors" as defined under Code Section 162(m) (the Committee), except that the Committee may delegate its authority to the extent consistent with applicable law and Securities and Exchange Commission rules, and except that AbbVie's chief executive officer may grant Benefits under the AbbVie Incentive Stock Program to eligible persons other than directors and executive officers of AbbVie, which grants will be reported to the Committee.</w:t>
      </w:r>
    </w:p>
    <w:p>
      <w:pPr>
        <w:spacing w:after="0" w:line="18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To the extent not inconsistent with the AbbVie Incentive Stock Program's provisions, the Committee's powers will include, among other things, the power to grant Benefits, determine the persons to whom and the time or times at which Benefits will be granted, determine the type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2" w:name="page203"/>
    <w:bookmarkEnd w:id="20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number of Benefits to be granted and the terms and conditions relating to any Benefit, determine the terms and provisions of any Benefit agreement, make adjustments in the terms and conditions applicable to Benefits, construe and interpret the AbbVie Incentive Stock Program and any Benefit, and make all other determinations deemed necessary or advisable for the administration of the AbbVie Incentive Stock Program.</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Eligibility</w:t>
      </w:r>
    </w:p>
    <w:p>
      <w:pPr>
        <w:spacing w:after="0" w:line="224"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Employees of AbbVie and its subsidiaries selected by the Committee will be eligible to receive Benefits under the AbbVie Incentive Stock Program. Directors who are not employees of AbbVie or its subsidiaries are eligible to receive certain restricted stock unit awards and nonqualified stock options, as described in more detail below. In addition, Adjusted Awards are expected to be granted under the AbbVie Incentive Stock Program in accordance with the Employee Matters Agreement.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Duration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AbbVie Incentive Stock Program will continue in effect until the tenth anniversary of the distribution date, unless terminated earlier by the board of directors.</w:t>
      </w: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Adjustments</w:t>
      </w:r>
    </w:p>
    <w:p>
      <w:pPr>
        <w:spacing w:after="0" w:line="224" w:lineRule="exact"/>
        <w:rPr>
          <w:sz w:val="20"/>
          <w:szCs w:val="20"/>
          <w:color w:val="auto"/>
        </w:rPr>
      </w:pPr>
    </w:p>
    <w:p>
      <w:pPr>
        <w:ind w:right="60" w:firstLine="338"/>
        <w:spacing w:after="0" w:line="311" w:lineRule="auto"/>
        <w:rPr>
          <w:sz w:val="20"/>
          <w:szCs w:val="20"/>
          <w:color w:val="auto"/>
        </w:rPr>
      </w:pPr>
      <w:r>
        <w:rPr>
          <w:rFonts w:ascii="Arial" w:cs="Arial" w:eastAsia="Arial" w:hAnsi="Arial"/>
          <w:sz w:val="15"/>
          <w:szCs w:val="15"/>
          <w:color w:val="auto"/>
        </w:rPr>
        <w:t>The AbbVie Incentive Stock Program provides for equitable adjustment by the Committee in the event of certain corporate events such as a stock split, special dividend (in cash, shares, or other property), merger, spin-off, or similar occurrence affecting the shares including, for example, adjustments to the number of shares reserved under the AbbVie Incentive Stock Program, the number of shares covered by, or issuable pursuant to each outstanding Benefit, the exercise price or purchase price relating to any Benefit, the performance goals, and the individual and share limitations under the AbbVie Incentive Stock Program.</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224" w:lineRule="exact"/>
        <w:rPr>
          <w:sz w:val="20"/>
          <w:szCs w:val="20"/>
          <w:color w:val="auto"/>
        </w:rPr>
      </w:pPr>
    </w:p>
    <w:p>
      <w:pPr>
        <w:ind w:right="120" w:firstLine="338"/>
        <w:spacing w:after="0" w:line="311" w:lineRule="auto"/>
        <w:rPr>
          <w:sz w:val="20"/>
          <w:szCs w:val="20"/>
          <w:color w:val="auto"/>
        </w:rPr>
      </w:pPr>
      <w:r>
        <w:rPr>
          <w:rFonts w:ascii="Arial" w:cs="Arial" w:eastAsia="Arial" w:hAnsi="Arial"/>
          <w:sz w:val="15"/>
          <w:szCs w:val="15"/>
          <w:color w:val="auto"/>
        </w:rPr>
        <w:t>The AbbVie Incentive Stock Program provides for the grant of nonqualified stock options (referred to as stock options). The exercise price of any stock option will be at least 100 percent of the fair market value of the shares of common stock on the grant date of the stock option. The Committee may provide for the payment of the exercise price in cash, by delivery of other shares of AbbVie common stock having a market value equal to the purchase price of such shares, including by withholding of shares that would otherwise be distributed to the participant upon exercise, or by any other method approved by the Committee.</w:t>
      </w:r>
    </w:p>
    <w:p>
      <w:pPr>
        <w:spacing w:after="0" w:line="155"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Committee may permit or require a participant to pay all or a portion of the federal, state, and local taxes (in U.S. or non-U.S. jurisdictions), including social security and Medicare withholding tax, arising in connection with the receipt or exercise of any Benefit, by having AbbVie withhold shares or by delivering shares received in connection with the Benefit or previously acquired, having a fair market value approximating the amount to be withheld.</w:t>
      </w:r>
    </w:p>
    <w:p>
      <w:pPr>
        <w:spacing w:after="0" w:line="163"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Certain Adjusted Awards comprised of stock options granted under an incentive stock program of Abbott or its subsidiaries before 2005 may qualify for the grant of replacement options under the AbbVie Incentive Stock Program. When an individual exercises a stock option granted with a replacement option feature that has been held for at least six months and pays the exercise price or taxes incurred in connection with the exercise by delivery or withholding of shares of AbbVie common stock, that individual may be granted a new nonqualified stock option for the number of shares so used. The replacement option will cover the number of shares surrendered to pay the purchase price, or surrendered or withheld to pay the individual's tax liability, if any, will have an exercise price equal to the fair market value of such shares on the date the replacement option is granted, will be exercisable in full six months from the date of grant, will expire on the expiration date of the original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stock option and will contain a similar replacement option feature. The AbbVie Incentive Stock Program will not provide for the grant of replacement options other than pursuant to Adjusted Awards.</w:t>
      </w:r>
    </w:p>
    <w:p>
      <w:pPr>
        <w:spacing w:after="0" w:line="170" w:lineRule="exact"/>
        <w:rPr>
          <w:sz w:val="20"/>
          <w:szCs w:val="20"/>
          <w:color w:val="auto"/>
        </w:rPr>
      </w:pPr>
    </w:p>
    <w:p>
      <w:pPr>
        <w:ind w:right="320" w:firstLine="341"/>
        <w:spacing w:after="0" w:line="352" w:lineRule="auto"/>
        <w:rPr>
          <w:sz w:val="20"/>
          <w:szCs w:val="20"/>
          <w:color w:val="auto"/>
        </w:rPr>
      </w:pPr>
      <w:r>
        <w:rPr>
          <w:rFonts w:ascii="Arial" w:cs="Arial" w:eastAsia="Arial" w:hAnsi="Arial"/>
          <w:sz w:val="15"/>
          <w:szCs w:val="15"/>
          <w:color w:val="auto"/>
        </w:rPr>
        <w:t>No stock option granted under the AbbVie Incentive Stock Program may be exercised after the expiration of ten years from the date it is granted. The AbbVie Incentive Stock Program contains special rules covering the time of exercise in case of retirement, death, disability, or other termination of employment.</w:t>
      </w:r>
    </w:p>
    <w:p>
      <w:pPr>
        <w:spacing w:after="0" w:line="123" w:lineRule="exact"/>
        <w:rPr>
          <w:sz w:val="20"/>
          <w:szCs w:val="20"/>
          <w:color w:val="auto"/>
        </w:rPr>
      </w:pPr>
    </w:p>
    <w:p>
      <w:pPr>
        <w:jc w:val="both"/>
        <w:ind w:right="400" w:firstLine="338"/>
        <w:spacing w:after="0" w:line="270" w:lineRule="auto"/>
        <w:rPr>
          <w:sz w:val="20"/>
          <w:szCs w:val="20"/>
          <w:color w:val="auto"/>
        </w:rPr>
      </w:pPr>
      <w:r>
        <w:rPr>
          <w:rFonts w:ascii="Arial" w:cs="Arial" w:eastAsia="Arial" w:hAnsi="Arial"/>
          <w:sz w:val="17"/>
          <w:szCs w:val="17"/>
          <w:color w:val="auto"/>
        </w:rPr>
        <w:t>The AbbVie Incentive Stock Program also provides that, unless otherwise provided in the applicable Benefit agreement, upon the occurrence of a "change in control" of AbbVie (as defined in the AbbVie Incentive Stock Program), all stock options will become fully vested and exercisable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Stock Awards and Restricted Stock Units</w:t>
      </w:r>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Restricted stock awards consist of common shares transferred to participants, without payment, as additional compensation for their services to AbbVie or one of its subsidiaries. Restricted stock units consist of a contractual right of the participant to receive common shares, or cash equal in value to those shares, in the future, without payment, as additional compensation for their services to AbbVie or one of its subsidiaries. Restricted stock awards and restricted stock units awarded under the AbbVie Incentive Stock Program will be subject to such terms and conditions as the Committee determines are appropriate, including, without limitation, restrictions on the sale or other disposition of such shares. The Committee may provide the right to vote and receive dividends on restricted stock granted under the AbbVie Incentive Stock Program. Subject to Code Section 409A, the Committee may provide the right to receive dividend equivalents on restricted stock units granted under the AbbVie Incentive Stock Program. Unless otherwise provided, any dividends or dividend equivalents received, including in connection with a stock split of the shares of common stock underlying an award, will be subject to the same restrictions as the shares of common stock underlying the award.</w:t>
      </w:r>
    </w:p>
    <w:p>
      <w:pPr>
        <w:spacing w:after="0" w:line="163" w:lineRule="exact"/>
        <w:rPr>
          <w:sz w:val="20"/>
          <w:szCs w:val="20"/>
          <w:color w:val="auto"/>
        </w:rPr>
      </w:pPr>
    </w:p>
    <w:p>
      <w:pPr>
        <w:jc w:val="both"/>
        <w:ind w:right="80" w:firstLine="338"/>
        <w:spacing w:after="0" w:line="270" w:lineRule="auto"/>
        <w:rPr>
          <w:sz w:val="20"/>
          <w:szCs w:val="20"/>
          <w:color w:val="auto"/>
        </w:rPr>
      </w:pPr>
      <w:r>
        <w:rPr>
          <w:rFonts w:ascii="Arial" w:cs="Arial" w:eastAsia="Arial" w:hAnsi="Arial"/>
          <w:sz w:val="17"/>
          <w:szCs w:val="17"/>
          <w:color w:val="auto"/>
        </w:rPr>
        <w:t>The AbbVie Incentive Stock Program provides that, unless otherwise provided in the applicable Benefit agreement, upon the occurrence of a change in control of AbbVie, all terms and conditions of all restricted stock awards and restricted stock units then outstanding will be deemed to be satisfied, and all restrictions will lapse,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AbbVie Incentive Stock Program permits the grant of performance awards in the form of restricted stock, restricted stock units and other share-based awards. The goals established by the Committee will be based on any one or a combination of earnings per share, return on equity, return on assets, return on net assets, return on investment, total stockholder return, net operating income, cash flow, increase in revenue, economic value added, increase in share price, or cash flow return on investment.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88" w:lineRule="exact"/>
        <w:rPr>
          <w:sz w:val="20"/>
          <w:szCs w:val="20"/>
          <w:color w:val="auto"/>
        </w:rPr>
      </w:pPr>
    </w:p>
    <w:p>
      <w:pPr>
        <w:ind w:right="80" w:firstLine="338"/>
        <w:spacing w:after="0" w:line="352" w:lineRule="auto"/>
        <w:rPr>
          <w:sz w:val="20"/>
          <w:szCs w:val="20"/>
          <w:color w:val="auto"/>
        </w:rPr>
      </w:pPr>
      <w:r>
        <w:rPr>
          <w:rFonts w:ascii="Arial" w:cs="Arial" w:eastAsia="Arial" w:hAnsi="Arial"/>
          <w:sz w:val="15"/>
          <w:szCs w:val="15"/>
          <w:color w:val="auto"/>
        </w:rPr>
        <w:t>The AbbVie Incentive Stock Program provides that, unless otherwise provided in the applicable Benefit agreement, upon the occurrence of a change in control of AbbVie, all performance awards then outstanding will be deemed to have been fully earned and are immediately payable as of the date of the change in control.</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Stock-Based Awards</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Committee may grant other stock-based awards, including stock appreciation rights and other awards, based on the value of shares of AbbVie common stock, subject to such terms and conditions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80"/>
        <w:spacing w:after="0" w:line="282" w:lineRule="auto"/>
        <w:rPr>
          <w:sz w:val="20"/>
          <w:szCs w:val="20"/>
          <w:color w:val="auto"/>
        </w:rPr>
      </w:pPr>
      <w:r>
        <w:rPr>
          <w:rFonts w:ascii="Arial" w:cs="Arial" w:eastAsia="Arial" w:hAnsi="Arial"/>
          <w:sz w:val="17"/>
          <w:szCs w:val="17"/>
          <w:color w:val="auto"/>
        </w:rPr>
        <w:t>the Committee determines are appropriate. The Committee may grant no more than one thousand fully vested shares of AbbVie common stock in the form of recognition awards to any one individual in any one calendar year.</w:t>
      </w:r>
    </w:p>
    <w:p>
      <w:pPr>
        <w:spacing w:after="0" w:line="170"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AbbVie Incentive Stock Program provides that, unless otherwise provided in the applicable Benefit agreement, upon the occurrence of a change in control of AbbVie, all other share-based awards will become fully vested and all stock appreciation rights will become fully vested and exercisable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Non-U.S. Benefits</w:t>
      </w:r>
    </w:p>
    <w:p>
      <w:pPr>
        <w:spacing w:after="0" w:line="224" w:lineRule="exact"/>
        <w:rPr>
          <w:sz w:val="20"/>
          <w:szCs w:val="20"/>
          <w:color w:val="auto"/>
        </w:rPr>
      </w:pPr>
    </w:p>
    <w:p>
      <w:pPr>
        <w:ind w:right="60" w:firstLine="338"/>
        <w:spacing w:after="0" w:line="278" w:lineRule="auto"/>
        <w:rPr>
          <w:sz w:val="20"/>
          <w:szCs w:val="20"/>
          <w:color w:val="auto"/>
        </w:rPr>
      </w:pPr>
      <w:r>
        <w:rPr>
          <w:rFonts w:ascii="Arial" w:cs="Arial" w:eastAsia="Arial" w:hAnsi="Arial"/>
          <w:sz w:val="16"/>
          <w:szCs w:val="16"/>
          <w:color w:val="auto"/>
        </w:rPr>
        <w:t>The Committee may grant Benefits to such officers and employees of AbbVie and its subsidiaries who reside outside of the United States, subject to such terms and conditions as the Committee determines are appropriate. The Committee may amend or vary the terms of the AbbVie Incentive Stock Program to conform such terms with the requirements of each jurisdiction where a subsidiary is located as it considers necessary or desirable to take into account or to mitigate or reduce the burden of taxation and social security contributions for participants and/or the subsidiary, or amend or vary the terms of the AbbVie Incentive Stock Program in a jurisdiction where the subsidiary is located as it considers necessary or desirable to meet the goals and objectives of the program. The Committee may establish one or more sub-programs for these purposes. The Committee may establish administrative rules and procedures to facilitate the operation of the AbbVie Incentive Stock Program in such jurisdictions. To the extent permitted under applicable law, the Committee, which may delegate its authority and responsibilities to one or more officers of AbbVie, intends to delegate to the senior vice president of human resources its authority and responsibilities with respect to the grant of Benefits to officers and employees of AbbVie and its subsidiaries who reside outside of the United States.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Awards to Non-Employee Directors</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AbbVie Incentive Stock Program permits each non-employee director to elect to receive any or all of his or her directors' fees earned under AbbVie's Non-Employee Directors' Fee Plan in the form of nonqualified stock options. The fees earned in any year that are covered by any such election will be converted to stock options based on an independent appraisal for such year of the value of such stock options. Each stock option due to a non-employee director under the AbbVie Incentive Stock Program will be granted annually, on the date of the annual stockholders meeting, will be immediately exercisable and non-forfeitable, and will not be exercisable after the tenth anniversary of the date of grant.</w:t>
      </w:r>
    </w:p>
    <w:p>
      <w:pPr>
        <w:spacing w:after="0" w:line="187"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AbbVie Incentive Stock Program also provides that restricted stock units will automatically be awarded to each person elected as a director of AbbVie at the annual stockholders meeting who is not also an employee of AbbVie or its subsidiaries. The awards will be made on the date the person is elected as a director, and each award will cover a number of shares of common stock with a fair market value on the award date closest to the sum of an amount equal to six times the monthly fee under the terms of the Non-Employee Directors' Fee Plan on the date of the award and $50,000. The shares covered by the awards will be fully vested on the award date. The non-employee director receiving the restricted stock units will be entitled to receive one common share for each restricted stock unit upon the earliest of the date the director experiences a "separation from service" (within the meaning of Code Section 409A), the date the director dies or the date of a change in control that also qualifies as a "change of control event" (within the meaning of Code Section 409A).</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Nontransferability</w:t>
      </w:r>
    </w:p>
    <w:p>
      <w:pPr>
        <w:spacing w:after="0" w:line="224"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Except as provided by the Committee, Benefits granted under the Program will be exercisable only by the holder during the holder's lifetime; provided, however, that such Benefits will be transferable by will or by the laws of descent and distribution.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Amendment and Termination</w:t>
      </w:r>
    </w:p>
    <w:p>
      <w:pPr>
        <w:spacing w:after="0" w:line="224"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AbbVie Incentive Stock Program may be amended from time to time or terminated by the board of directors. In the absence of stockholder approval, however, no such amendment may increase the aggregate number of shares available for Benefits, extend the term of the AbbVie Incentive Stock Program, or change or add a category or categories of individuals who are eligible to participate in the AbbVie Incentive Stock Program. In addition, without the written consent of the holder, no amendment or termination of the AbbVie Incentive Stock Program may materially and adversely modify the holder's rights under the express terms and conditions of an outstanding Benefit.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 Federal Income Tax Consequences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following discussion is a brief summary of the principal U.S. federal income tax consequences of the AbbVie Incentive Stock Program under the provisions of the Code, as currently in effect. The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w:t>
      </w:r>
    </w:p>
    <w:p>
      <w:pPr>
        <w:spacing w:after="0" w:line="185" w:lineRule="exact"/>
        <w:rPr>
          <w:sz w:val="20"/>
          <w:szCs w:val="20"/>
          <w:color w:val="auto"/>
        </w:rPr>
      </w:pPr>
    </w:p>
    <w:p>
      <w:pPr>
        <w:ind w:right="80" w:firstLine="341"/>
        <w:spacing w:after="0" w:line="306" w:lineRule="auto"/>
        <w:rPr>
          <w:sz w:val="20"/>
          <w:szCs w:val="20"/>
          <w:color w:val="auto"/>
        </w:rPr>
      </w:pPr>
      <w:r>
        <w:rPr>
          <w:rFonts w:ascii="Arial" w:cs="Arial" w:eastAsia="Arial" w:hAnsi="Arial"/>
          <w:sz w:val="15"/>
          <w:szCs w:val="15"/>
          <w:color w:val="auto"/>
        </w:rPr>
        <w:t>Under existing law and regulations, the grant of stock options and stock appreciation rights will not result in income taxable to the employee or director or provide a deduction to AbbVie. However, the exercise of a nonqualified stock option or stock appreciation right results in taxable income to the holder, and AbbVie is entitled to a corresponding tax deduction. At the time of the exercise of a nonqualified stock option, the participant will be taxed at ordinary income tax rates on the excess of the fair market value of the shares purchased over the stock option's exercise price. At the time of the exercise of a stock appreciation right, the participant will be taxed at ordinary income tax rates on the amount of the cash, or the fair market value of the shares, received by the employee upon exercise.</w:t>
      </w:r>
    </w:p>
    <w:p>
      <w:pPr>
        <w:spacing w:after="0" w:line="159" w:lineRule="exact"/>
        <w:rPr>
          <w:sz w:val="20"/>
          <w:szCs w:val="20"/>
          <w:color w:val="auto"/>
        </w:rPr>
      </w:pPr>
    </w:p>
    <w:p>
      <w:pPr>
        <w:ind w:right="100" w:firstLine="332"/>
        <w:spacing w:after="0" w:line="261" w:lineRule="auto"/>
        <w:rPr>
          <w:sz w:val="20"/>
          <w:szCs w:val="20"/>
          <w:color w:val="auto"/>
        </w:rPr>
      </w:pPr>
      <w:r>
        <w:rPr>
          <w:rFonts w:ascii="Arial" w:cs="Arial" w:eastAsia="Arial" w:hAnsi="Arial"/>
          <w:sz w:val="17"/>
          <w:szCs w:val="17"/>
          <w:color w:val="auto"/>
        </w:rPr>
        <w:t>A participant in the AbbVie Incentive Stock Program who is granted a restricted stock award will not be taxed upon the acquisition of such shares so long as the interest in such shares is subject to a "substantial risk of forfeiture" within the meaning of Code Section 83. Upon lapse or release of the restrictions, the recipient will be taxed at ordinary income tax rates on an amount equal to the then current fair market value of the shares. Any such awards that are not subject to a substantial risk of forfeiture will be taxed at the time of grant. AbbVie will be entitled to a corresponding deduction when the value of the award is included in the recipient's taxable income.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w:t>
      </w:r>
    </w:p>
    <w:p>
      <w:pPr>
        <w:spacing w:after="0" w:line="190" w:lineRule="exact"/>
        <w:rPr>
          <w:sz w:val="20"/>
          <w:szCs w:val="20"/>
          <w:color w:val="auto"/>
        </w:rPr>
      </w:pPr>
    </w:p>
    <w:p>
      <w:pPr>
        <w:ind w:firstLine="332"/>
        <w:spacing w:after="0" w:line="294" w:lineRule="auto"/>
        <w:rPr>
          <w:sz w:val="20"/>
          <w:szCs w:val="20"/>
          <w:color w:val="auto"/>
        </w:rPr>
      </w:pPr>
      <w:r>
        <w:rPr>
          <w:rFonts w:ascii="Arial" w:cs="Arial" w:eastAsia="Arial" w:hAnsi="Arial"/>
          <w:sz w:val="16"/>
          <w:szCs w:val="16"/>
          <w:color w:val="auto"/>
        </w:rPr>
        <w:t>A recipient of a restricted stock award may elect to be taxed at ordinary income tax rates on the full fair market value of the restricted shares at the time of grant. If the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w:t>
      </w:r>
    </w:p>
    <w:p>
      <w:pPr>
        <w:spacing w:after="0" w:line="163" w:lineRule="exact"/>
        <w:rPr>
          <w:sz w:val="20"/>
          <w:szCs w:val="20"/>
          <w:color w:val="auto"/>
        </w:rPr>
      </w:pPr>
    </w:p>
    <w:p>
      <w:pPr>
        <w:ind w:right="220" w:firstLine="332"/>
        <w:spacing w:after="0" w:line="265" w:lineRule="auto"/>
        <w:rPr>
          <w:sz w:val="20"/>
          <w:szCs w:val="20"/>
          <w:color w:val="auto"/>
        </w:rPr>
      </w:pPr>
      <w:r>
        <w:rPr>
          <w:rFonts w:ascii="Arial" w:cs="Arial" w:eastAsia="Arial" w:hAnsi="Arial"/>
          <w:sz w:val="17"/>
          <w:szCs w:val="17"/>
          <w:color w:val="auto"/>
        </w:rPr>
        <w:t>An employee or non-employee director who is granted a restricted stock unit will not be taxed upon the grant of the award. Upon receipt of payment of cash or shares of common stock pursuant to a restricted stock unit, the employee or non-employee director will realize ordinary income in an amount equal to any cash received and the fair market value of any shares of common stock received, and AbbVie will be entitled to an income tax deduction equal to the amount of ordinary income recognized by the employee or non-employee director.</w:t>
      </w:r>
    </w:p>
    <w:p>
      <w:pPr>
        <w:spacing w:after="0" w:line="185"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 recipient of a performance award will generally realize ordinary income at the time shares of common stock are transferred or cash is paid to the recipient with respect to such award.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Abbott</w:t>
      </w:r>
    </w:p>
    <w:p>
      <w:pPr>
        <w:spacing w:after="0" w:line="228"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Following the separation and distribution, AbbVie and Abbott will operate separately, each as an independent public company. Prior to the separation and distribution, AbbVie and Abbott will enter into certain agreements that will effect the separation, provide a framework for AbbVie's relationship with Abbott after the separation and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such as a separation and distribution agreement, a U.S. and an ex-U.S. transition services agreement, a tax sharing agreement, an employee matters agreement, a special products master agreement, an international commercial operations agreement, a Luxembourg international commercial operations agreement, finished goods supply agreements, contract manufacturing agreements, an information technology agreement, and a transitional trademark license agreement. The agreements listed above will be filed as exhibits to the registration statement on Form 10 of which this information statement is a part.</w:t>
      </w:r>
    </w:p>
    <w:p>
      <w:pPr>
        <w:spacing w:after="0" w:line="177" w:lineRule="exact"/>
        <w:rPr>
          <w:sz w:val="20"/>
          <w:szCs w:val="20"/>
          <w:color w:val="auto"/>
        </w:rPr>
      </w:pPr>
    </w:p>
    <w:p>
      <w:pPr>
        <w:jc w:val="both"/>
        <w:ind w:right="540" w:firstLine="338"/>
        <w:spacing w:after="0" w:line="270" w:lineRule="auto"/>
        <w:rPr>
          <w:sz w:val="20"/>
          <w:szCs w:val="20"/>
          <w:color w:val="auto"/>
        </w:rPr>
      </w:pPr>
      <w:r>
        <w:rPr>
          <w:rFonts w:ascii="Arial" w:cs="Arial" w:eastAsia="Arial" w:hAnsi="Arial"/>
          <w:sz w:val="17"/>
          <w:szCs w:val="17"/>
          <w:color w:val="auto"/>
        </w:rPr>
        <w:t>The summaries of each of the agreements listed above are qualified in their entireties by reference to the full text of the applicable agreements, which are incorporated by reference into this information statement. When used in this section, "distribution date" refers to the date on which Abbott distributes AbbVie's common stock to the holders of Abbott common shares.</w:t>
      </w:r>
    </w:p>
    <w:p>
      <w:pPr>
        <w:spacing w:after="0" w:line="17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addition to the above agreements, Abbott and AbbVie will enter into certain lease agreements prior to the distribution, including a long-term lease pursuant to which AbbVie will lease from Abbott a portion of Abbott Park, Abbott's current headquarters. Certain shared services will also be contemplated in connection with this arrangement. These lease agreements, individually and in the aggregate, are not material to AbbVie's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Separation Agreement</w:t>
      </w:r>
    </w:p>
    <w:p>
      <w:pPr>
        <w:spacing w:after="0" w:line="228"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following discussion summarizes the material provisions of the separation agreement that will be entered into between AbbVie and Abbott. The separation agreement will set forth, among other things, AbbVie's agreements with Abbott regarding the principal transactions necessary to separate AbbVie from Abbott. It will also set forth other agreements that govern certain aspects of AbbVie's relationship with Abbott after the distribution 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Transfer of Assets and Assumption of Liabilities</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assigned to each of AbbVie and Abbott as part of the separation of Abbott into two companies, and it will provide for when and how these transfers, assumptions and assignments will occur. In particular, the separation agreement will provide, among other things, that, subject to the terms and conditions contained therein:</w:t>
      </w:r>
    </w:p>
    <w:p>
      <w:pPr>
        <w:spacing w:after="0" w:line="176" w:lineRule="exact"/>
        <w:rPr>
          <w:sz w:val="20"/>
          <w:szCs w:val="20"/>
          <w:color w:val="auto"/>
        </w:rPr>
      </w:pPr>
    </w:p>
    <w:p>
      <w:pPr>
        <w:ind w:left="1060" w:hanging="531"/>
        <w:spacing w:after="0"/>
        <w:tabs>
          <w:tab w:leader="none" w:pos="106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certain assets related to the AbbVie business, referred to as the AbbVie Assets, will be transferred to AbbVie or one of AbbVie's subsidiaries, including:</w:t>
      </w:r>
    </w:p>
    <w:p>
      <w:pPr>
        <w:spacing w:after="0" w:line="200" w:lineRule="exact"/>
        <w:rPr>
          <w:rFonts w:ascii="Arial" w:cs="Arial" w:eastAsia="Arial" w:hAnsi="Arial"/>
          <w:sz w:val="15"/>
          <w:szCs w:val="15"/>
          <w:color w:val="auto"/>
        </w:rPr>
      </w:pPr>
    </w:p>
    <w:p>
      <w:pPr>
        <w:spacing w:after="0" w:line="282" w:lineRule="exact"/>
        <w:rPr>
          <w:rFonts w:ascii="Arial" w:cs="Arial" w:eastAsia="Arial" w:hAnsi="Arial"/>
          <w:sz w:val="15"/>
          <w:szCs w:val="15"/>
          <w:color w:val="auto"/>
        </w:rPr>
      </w:pPr>
    </w:p>
    <w:p>
      <w:pPr>
        <w:ind w:left="1580" w:right="20" w:hanging="526"/>
        <w:spacing w:after="0" w:line="282" w:lineRule="auto"/>
        <w:tabs>
          <w:tab w:leader="none" w:pos="158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certain pharmaceutical products, including those listed below, and the associated rights, clinical study data, product and marketing registrations, and applications:</w:t>
      </w:r>
    </w:p>
    <w:p>
      <w:pPr>
        <w:spacing w:after="0" w:line="392" w:lineRule="exact"/>
        <w:rPr>
          <w:rFonts w:ascii="Arial" w:cs="Arial" w:eastAsia="Arial" w:hAnsi="Arial"/>
          <w:sz w:val="17"/>
          <w:szCs w:val="17"/>
          <w:color w:val="auto"/>
        </w:rPr>
      </w:pPr>
    </w:p>
    <w:p>
      <w:pPr>
        <w:ind w:left="2100" w:hanging="522"/>
        <w:spacing w:after="0"/>
        <w:tabs>
          <w:tab w:leader="none" w:pos="210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HUMIRA;</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Kaletra / Norvir;</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Lupron;</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Synagis;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Sevoflurane (for human use);</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Duodopa; and</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Zemplar;</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520" w:hanging="526"/>
        <w:spacing w:after="0" w:line="282" w:lineRule="auto"/>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rights to sell certain pharmaceutical products in the United States, including those listed below, and the other rights to those products described in the special products master agreement:</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Synthroid;</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AndroGel;</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Creon;</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TriCor/Trilipix;</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Simcor (rights to sell worldwide, except Canada); and</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Niaspan;</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580" w:right="500" w:hanging="526"/>
        <w:spacing w:after="0" w:line="270" w:lineRule="auto"/>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pharmaceutical product candidates, including candidates for the treatment of HCV, renal disease, multiple sclerosis, Alzheimer's disease, schizophrenia, pain, cancer, uterine fibroids and immune-related conditions, and the rights, clinical study data, product and marketing registrations and applications related to these candidates;</w:t>
      </w:r>
    </w:p>
    <w:p>
      <w:pPr>
        <w:spacing w:after="0" w:line="192" w:lineRule="exact"/>
        <w:rPr>
          <w:rFonts w:ascii="Arial" w:cs="Arial" w:eastAsia="Arial" w:hAnsi="Arial"/>
          <w:sz w:val="17"/>
          <w:szCs w:val="17"/>
          <w:color w:val="auto"/>
        </w:rPr>
      </w:pPr>
    </w:p>
    <w:p>
      <w:pPr>
        <w:ind w:left="1580" w:hanging="526"/>
        <w:spacing w:after="0" w:line="270" w:lineRule="auto"/>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patents and trademarks used exclusively in the AbbVie business and certain other patents and trademarks, the know-how and copyrights that are used exclusively in the AbbVie business, and a non-exclusive right to the know-how and copyrights that are used in the AbbVie business, but are not used exclusively in the AbbVie business;</w:t>
      </w:r>
    </w:p>
    <w:p>
      <w:pPr>
        <w:spacing w:after="0" w:line="192" w:lineRule="exact"/>
        <w:rPr>
          <w:rFonts w:ascii="Arial" w:cs="Arial" w:eastAsia="Arial" w:hAnsi="Arial"/>
          <w:sz w:val="17"/>
          <w:szCs w:val="17"/>
          <w:color w:val="auto"/>
        </w:rPr>
      </w:pPr>
    </w:p>
    <w:p>
      <w:pPr>
        <w:ind w:left="1580" w:right="880" w:hanging="526"/>
        <w:spacing w:after="0" w:line="315" w:lineRule="auto"/>
        <w:tabs>
          <w:tab w:leader="none" w:pos="15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certain manufacturing facilities located in Barceloneta and Jayuya, Puerto Rico; North Chicago, Illinois; Worcester, Massachusetts; Campoverde di Aprilia, Italy; Cork and Sligo, Ireland; Ludwigshafen, Germany; and Wyandotte, Michigan;</w:t>
      </w:r>
    </w:p>
    <w:p>
      <w:pPr>
        <w:spacing w:after="0" w:line="172" w:lineRule="exact"/>
        <w:rPr>
          <w:rFonts w:ascii="Arial" w:cs="Arial" w:eastAsia="Arial" w:hAnsi="Arial"/>
          <w:sz w:val="16"/>
          <w:szCs w:val="16"/>
          <w:color w:val="auto"/>
        </w:rPr>
      </w:pPr>
    </w:p>
    <w:p>
      <w:pPr>
        <w:ind w:left="1580" w:right="220" w:hanging="526"/>
        <w:spacing w:after="0" w:line="282" w:lineRule="auto"/>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research and development facilities, including those located in North Chicago, Illinois; Redwood City, California; Worcester, Massachusetts; Shanghai, China; and Ludwigshafen, Germany;</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other real property, including distribution and warehouse facilities and office space;</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contracts (or portions thereof) that relate to the AbbVie business;</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equity interests of certain Abbott subsidiaries that hold assets and liabilities related to the AbbVie business;</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information related to the AbbVie Assets, the AbbVie Liabilities, or the AbbVie business;</w:t>
      </w:r>
    </w:p>
    <w:p>
      <w:pPr>
        <w:spacing w:after="0" w:line="250" w:lineRule="exact"/>
        <w:rPr>
          <w:rFonts w:ascii="Arial" w:cs="Arial" w:eastAsia="Arial" w:hAnsi="Arial"/>
          <w:sz w:val="17"/>
          <w:szCs w:val="17"/>
          <w:color w:val="auto"/>
        </w:rPr>
      </w:pPr>
    </w:p>
    <w:p>
      <w:pPr>
        <w:ind w:left="1580" w:right="340" w:hanging="526"/>
        <w:spacing w:after="0" w:line="265" w:lineRule="auto"/>
        <w:tabs>
          <w:tab w:leader="none" w:pos="15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rights and assets expressly allocated to AbbVie or one of AbbVie's subsidiaries pursuant to the terms of the separation agreement or certain other agreements entered into in connection with the separation, including the rights to the Special Products that are allocated to AbbVie pursuant to the special products master agreement and any rights allocated to AbbVie pursuant to the international commercial operations agreements and the ex-U.S. transition services agreement; and</w:t>
      </w:r>
    </w:p>
    <w:p>
      <w:pPr>
        <w:spacing w:after="0" w:line="198" w:lineRule="exact"/>
        <w:rPr>
          <w:rFonts w:ascii="Arial" w:cs="Arial" w:eastAsia="Arial" w:hAnsi="Arial"/>
          <w:sz w:val="17"/>
          <w:szCs w:val="17"/>
          <w:color w:val="auto"/>
        </w:rPr>
      </w:pPr>
    </w:p>
    <w:p>
      <w:pPr>
        <w:ind w:left="1580" w:right="120" w:hanging="526"/>
        <w:spacing w:after="0" w:line="315" w:lineRule="auto"/>
        <w:tabs>
          <w:tab w:leader="none" w:pos="15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other assets that are included in the AbbVie pro forma balance sheet, such as the pension assets included in the unaudited pro forma combined financial statements of AbbVie, which appear in the section entitled "Unaudited Pro Forma Combined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60" w:hanging="531"/>
        <w:spacing w:after="0" w:line="282" w:lineRule="auto"/>
        <w:tabs>
          <w:tab w:leader="none" w:pos="10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certain liabilities related to the AbbVie business or the AbbVie Assets, referred to as the AbbVie Liabilities, will be retained by or transferred to AbbVie or one of AbbVie's subsidiaries, including:</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liabilities arising out of actions, inactions, events, omissions, conditions, facts, or circumstances occurring or existing prior to the completion of the separation to the extent related to the AbbVie business or the AbbVie Assets;</w:t>
      </w:r>
    </w:p>
    <w:p>
      <w:pPr>
        <w:spacing w:after="0" w:line="18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liabilities for claims made by third parties, or directors, officers, employees, agents of Abbott or AbbVie or their subsidiaries or affiliates against either Abbott or AbbVie or any of their respective subsidiaries to the extent relating to, arising out of, or resulting from the AbbVie business or the AbbVie Assets;</w:t>
      </w:r>
    </w:p>
    <w:p>
      <w:pPr>
        <w:spacing w:after="0" w:line="192" w:lineRule="exact"/>
        <w:rPr>
          <w:rFonts w:ascii="Arial" w:cs="Arial" w:eastAsia="Arial" w:hAnsi="Arial"/>
          <w:sz w:val="17"/>
          <w:szCs w:val="17"/>
          <w:color w:val="auto"/>
        </w:rPr>
      </w:pPr>
    </w:p>
    <w:p>
      <w:pPr>
        <w:ind w:left="1580" w:right="140" w:hanging="526"/>
        <w:spacing w:after="0" w:line="287" w:lineRule="auto"/>
        <w:tabs>
          <w:tab w:leader="none" w:pos="158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liabilities and obligations expressly allocated to AbbVie or one of AbbVie's subsidiaries pursuant to the terms of the separation agreement or certain other agreements entered into in connection with the separation, including the liabilities and obligations related to the Special Products that are allocated to AbbVie pursuant to the special products master agreement and any liabilities allocated to AbbVie pursuant to the international commercial operations agreements and the ex-U.S. transition services agreement;</w:t>
      </w:r>
    </w:p>
    <w:p>
      <w:pPr>
        <w:spacing w:after="0" w:line="194" w:lineRule="exact"/>
        <w:rPr>
          <w:rFonts w:ascii="Arial" w:cs="Arial" w:eastAsia="Arial" w:hAnsi="Arial"/>
          <w:sz w:val="16"/>
          <w:szCs w:val="16"/>
          <w:color w:val="auto"/>
        </w:rPr>
      </w:pPr>
    </w:p>
    <w:p>
      <w:pPr>
        <w:ind w:left="1580" w:hanging="526"/>
        <w:spacing w:after="0"/>
        <w:tabs>
          <w:tab w:leader="none" w:pos="15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liabilities relating to the credit facility or other financing arrangements that AbbVie will enter into in connection with the separation;</w:t>
      </w:r>
    </w:p>
    <w:p>
      <w:pPr>
        <w:spacing w:after="0" w:line="237" w:lineRule="exact"/>
        <w:rPr>
          <w:rFonts w:ascii="Arial" w:cs="Arial" w:eastAsia="Arial" w:hAnsi="Arial"/>
          <w:sz w:val="17"/>
          <w:szCs w:val="17"/>
          <w:color w:val="auto"/>
        </w:rPr>
      </w:pPr>
    </w:p>
    <w:p>
      <w:pPr>
        <w:ind w:left="1580" w:right="180" w:hanging="526"/>
        <w:spacing w:after="0" w:line="282" w:lineRule="auto"/>
        <w:tabs>
          <w:tab w:leader="none" w:pos="15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liabilities relating to the plea agreement and corporate integrity agreement entered into in connection with the resolution of the Department of Justice's investigation into sales and marketing activities for Depakote;</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liabilities relating to litigation that solely or primarily relates to the AbbVie business, the AbbVie Assets, or the AbbVie Liabilities; and</w:t>
      </w:r>
    </w:p>
    <w:p>
      <w:pPr>
        <w:spacing w:after="0" w:line="261" w:lineRule="exact"/>
        <w:rPr>
          <w:rFonts w:ascii="Arial" w:cs="Arial" w:eastAsia="Arial" w:hAnsi="Arial"/>
          <w:sz w:val="16"/>
          <w:szCs w:val="16"/>
          <w:color w:val="auto"/>
        </w:rPr>
      </w:pPr>
    </w:p>
    <w:p>
      <w:pPr>
        <w:ind w:left="1580" w:right="400" w:hanging="526"/>
        <w:spacing w:after="0" w:line="352" w:lineRule="auto"/>
        <w:tabs>
          <w:tab w:leader="none" w:pos="1580" w:val="left"/>
        </w:tabs>
        <w:numPr>
          <w:ilvl w:val="1"/>
          <w:numId w:val="245"/>
        </w:numPr>
        <w:rPr>
          <w:rFonts w:ascii="Arial" w:cs="Arial" w:eastAsia="Arial" w:hAnsi="Arial"/>
          <w:sz w:val="15"/>
          <w:szCs w:val="15"/>
          <w:color w:val="auto"/>
        </w:rPr>
      </w:pPr>
      <w:r>
        <w:rPr>
          <w:rFonts w:ascii="Arial" w:cs="Arial" w:eastAsia="Arial" w:hAnsi="Arial"/>
          <w:sz w:val="15"/>
          <w:szCs w:val="15"/>
          <w:color w:val="auto"/>
        </w:rPr>
        <w:t>other liabilities that are included in the AbbVie pro forma balance sheet, such as the pension liabilities included in the unaudited pro forma combined financial statements of AbbVie, which appear in the section entitled "Unaudited Pro Forma Combined Financial Statements."</w:t>
      </w:r>
    </w:p>
    <w:p>
      <w:pPr>
        <w:spacing w:after="0" w:line="346" w:lineRule="exact"/>
        <w:rPr>
          <w:rFonts w:ascii="Arial" w:cs="Arial" w:eastAsia="Arial" w:hAnsi="Arial"/>
          <w:sz w:val="15"/>
          <w:szCs w:val="15"/>
          <w:color w:val="auto"/>
        </w:rPr>
      </w:pPr>
    </w:p>
    <w:p>
      <w:pPr>
        <w:ind w:left="1060" w:right="180" w:hanging="531"/>
        <w:spacing w:after="0" w:line="270" w:lineRule="auto"/>
        <w:tabs>
          <w:tab w:leader="none" w:pos="10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AbbVie Assets and AbbVie Liabilities (such assets and liabilities, other than the AbbVie Assets and the AbbVie Liabilities, referred to as the Abbott Assets and Abbott Liabilities, respectively) will be retained by or transferred to Abbott or one of its subsidiaries;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certain mixed contracts will be assigned, in part to AbbVie or its applicable subsidiaries or be appropriately amended.</w:t>
      </w:r>
    </w:p>
    <w:p>
      <w:pPr>
        <w:spacing w:after="0" w:line="224"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Except as expressly set forth in the separation agreement or any ancillary agreement, neither AbbVie nor Abbott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AbbVie or Abbott, or as to the legal sufficiency of any assignment,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and that any necessary consents or governmental approvals are not obtained or that any requirements of laws, agreements, security interests, or judgments are not complied with.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provides that, in the event that the transfer or assignment of certain assets and liabilities to Abbott or AbbVie, as applicable, does not occur prior to the separation, then until such assets or liabilities are able to be transferred or assigned, Abbott or AbbVie, as applicable, will hold such assets on behalf of and for the benefit of the other party and will pay, perform, and discharge such liabilities, for which the other party will reimburse Abbott or AbbVie, as applicable, for all commercially reasonable payments made in connection with the performance and discharge of such liabilities. For example, due to the requirements of applicable laws, the need to obtain certain governmental and third-party consents and other business reasons, the transfer of certain assets and liabilities to Abbott or AbbVie will be deferred in certain jurisdictions outside of the United States until after the completion of the separation. The international commercial operations agreements implement the principle outlined above with respect to the assets and liabilities in those jurisdictions and provide the mechanisms and transactions that will be used to transfer the benefits and burdens of the assets and liabilities located in those jurisdictions.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Cash Distribution</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separation agreement will provide that, prior to the distribution, AbbVie will make a cash distribution of approximately $13.2 billion to Abbott. Abbott will deposit the proceeds from the cash distribution in a segregated account and is expected to use these funds to repay a portion of Abbott's maturing debt and repurchase a portion of Abbott's existing public debt in one or more tender offers or otherwise. Such repayments and repurchases are expected to occur as promptly as practicable prior to the distribution, but in no event later than one year after the distribution.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Distribution</w:t>
      </w:r>
    </w:p>
    <w:p>
      <w:pPr>
        <w:spacing w:after="0" w:line="224"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The separation agreement will also govern the rights and obligations of the parties regarding the distribution following the completion of the separation. On the distribution date, Abbott will distribute to its shareholders that hold Abbott common shares as of the record date all of the issued and outstanding shares of AbbVie's common stock on a pro rata basis. Shareholders will receive cash in lieu of any fractional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Conditions to the Distribution</w:t>
      </w:r>
    </w:p>
    <w:p>
      <w:pPr>
        <w:spacing w:after="0" w:line="224"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separation agreement will provide that the distribution is subject to the satisfaction (or waiver by Abbott) of certain conditions. These conditions are described under "The Separation and Distribution—Conditions to the Distribution." Abbott will have the sole and absolute discretion to determine (and change) the terms of, and to determine whether to proceed with, the distribution and, to the extent it determines to so proceed, to determine the record date, the distribution date and the distribution ratio.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Claims</w:t>
      </w:r>
    </w:p>
    <w:p>
      <w:pPr>
        <w:spacing w:after="0" w:line="224" w:lineRule="exact"/>
        <w:rPr>
          <w:sz w:val="20"/>
          <w:szCs w:val="20"/>
          <w:color w:val="auto"/>
        </w:rPr>
      </w:pPr>
    </w:p>
    <w:p>
      <w:pPr>
        <w:ind w:right="140" w:firstLine="341"/>
        <w:spacing w:after="0" w:line="352" w:lineRule="auto"/>
        <w:rPr>
          <w:sz w:val="20"/>
          <w:szCs w:val="20"/>
          <w:color w:val="auto"/>
        </w:rPr>
      </w:pPr>
      <w:r>
        <w:rPr>
          <w:rFonts w:ascii="Arial" w:cs="Arial" w:eastAsia="Arial" w:hAnsi="Arial"/>
          <w:sz w:val="15"/>
          <w:szCs w:val="15"/>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Settlement of Accounts between Abbott and AbbVie</w:t>
      </w:r>
    </w:p>
    <w:p>
      <w:pPr>
        <w:spacing w:after="0" w:line="224"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separation agreement will provide that all intercompany receivables and payables as to which there are no third parties and that are between AbbVie or an AbbVie subsidiary that is incorporated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the United States, on the one hand, and Abbott or an Abbott subsidiary that is incorporated in the United States, on the other hand, as of immediately prior to the completion of the separation, will be settled, capitalized, cancelled, assigned, or assumed by AbbVie or one or more AbbVie subsidiaries as of immediately prior the completion of the separation. All other intercompany receivables and payables as to which there are no third parties and that are between AbbVie or an AbbVie subsidiary, on the one hand, and Abbott or an Abbott subsidiary, on the other hand, as of immediately prior to the completion of the separation, will continue to remain outstanding following the completion of the separation on the same terms and conditions that applied immediately prior to the completion of the separation. The separation agreement will also provide that at or prior to the distribution date, all brokerage accounts owned by AbbVie will be de-linked from the Abbott accounts.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Releases</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separation agreement will provide that AbbVie and its affiliates will release and discharge Abbott and its affiliates from all liabilities assumed by AbbVie as part of the separation, from all acts and events occurring or failing to occur, and all conditions existing, on or before the distribution date relating to AbbVie's business, and from all liabilities existing or arising in connection with the implementation of the separation, except as expressly set forth in the separation agreement. Abbott and its affiliates will release and discharge AbbVie and its affiliates from all liabilities retained by Abbott and its affiliates as part of the separation and from all liabilities existing or arising in connection with the implementation of the separation, except as expressly set forth in the separation agreement.</w:t>
      </w:r>
    </w:p>
    <w:p>
      <w:pPr>
        <w:spacing w:after="0" w:line="159" w:lineRule="exact"/>
        <w:rPr>
          <w:sz w:val="20"/>
          <w:szCs w:val="20"/>
          <w:color w:val="auto"/>
        </w:rPr>
      </w:pPr>
    </w:p>
    <w:p>
      <w:pPr>
        <w:ind w:right="280" w:firstLine="338"/>
        <w:spacing w:after="0" w:line="311" w:lineRule="auto"/>
        <w:rPr>
          <w:sz w:val="20"/>
          <w:szCs w:val="20"/>
          <w:color w:val="auto"/>
        </w:rPr>
      </w:pPr>
      <w:r>
        <w:rPr>
          <w:rFonts w:ascii="Arial" w:cs="Arial" w:eastAsia="Arial" w:hAnsi="Arial"/>
          <w:sz w:val="15"/>
          <w:szCs w:val="15"/>
          <w:color w:val="auto"/>
        </w:rPr>
        <w:t>These releases will not extend to obligations or liabilities under any agreements between the parties that remain in effect following the separation, which agreements include, but are not limited to, the separation agreement, transition services agreements, tax sharing agreement, employee matters agreement, special products master agreement, and certain other agreements, including an information technology agreement, the international commercial operations agreements, the manufacture and supply agreements, the intellectual property license agreements, and the transfer documents in connection with the separation.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the separation agreement, AbbVie will agree to indemnify, defend and hold harmless Abbott, each of its affiliates and each of their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AbbVie Liabilities;</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failure of AbbVie or any of its subsidiaries to pay, perform or otherwise promptly discharge any of the AbbVie Liabilities, in accordance with their respective terms, whether prior to, at or after the distribution;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AbbVie or any of its affiliates from and after the distribution;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breach by AbbVie or any of its subsidiaries of the separation agreement or any of the ancillary agreements;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in the registration statement or this information statement of a material fact.</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Abbott will agree to indemnify, defend and hold harmless AbbVie, each of its affiliates and each of its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Abbott Liabilities;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40" w:hanging="531"/>
        <w:spacing w:after="0" w:line="282" w:lineRule="auto"/>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failure of Abbott or any of its subsidiaries, other than AbbVie, to pay, perform or otherwise promptly discharge any of the Abbott Liabilities, in accordance with their respective terms whether prior to, at, or after the distribution;</w:t>
      </w:r>
    </w:p>
    <w:p>
      <w:pPr>
        <w:spacing w:after="0" w:line="196"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any of its affiliates from and after the distribution (other than the conduct of business, operations or activities for the benefit of AbbVie pursuant to an ancillary agreement);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breach by Abbott or any of its subsidiaries, other than AbbVie, of the separation agreement or any of the ancillary agreements; and</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untrue statement or alleged untrue statement made explicitly in Abbott's name in the registration statement or this information statement of a material fact.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agreement will also establish procedures with respect to claims subject to indemnification and related matters.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Patent Licenses</w:t>
      </w:r>
    </w:p>
    <w:p>
      <w:pPr>
        <w:spacing w:after="0" w:line="224" w:lineRule="exact"/>
        <w:rPr>
          <w:sz w:val="20"/>
          <w:szCs w:val="20"/>
          <w:color w:val="auto"/>
        </w:rPr>
      </w:pPr>
    </w:p>
    <w:p>
      <w:pPr>
        <w:ind w:right="160" w:firstLine="338"/>
        <w:spacing w:after="0" w:line="306" w:lineRule="auto"/>
        <w:rPr>
          <w:sz w:val="20"/>
          <w:szCs w:val="20"/>
          <w:color w:val="auto"/>
        </w:rPr>
      </w:pPr>
      <w:r>
        <w:rPr>
          <w:rFonts w:ascii="Arial" w:cs="Arial" w:eastAsia="Arial" w:hAnsi="Arial"/>
          <w:sz w:val="15"/>
          <w:szCs w:val="15"/>
          <w:color w:val="auto"/>
        </w:rPr>
        <w:t>The separation agreement provides that AbbVie and Abbott will grant each other perpetual, irrevocable, fully paid, and royalty-free licenses to certain patents to make, have made, use, sell, have sold, offer for sale, or import products. These licenses are generally limited to a field of use consistent with the licensee's business, and are generally worldwide, except where related to products that both AbbVie and Abbott will be selling in separate jurisdictions. Most of the licenses are non-exclusive, with the exception of one exclusive license from Abbott to AbbVie related to a specific product, and two co-exclusive licenses. The licenses expire on the expiration of the applicable patents, and may be terminated earlier upon request of the licensee, or upon mutual consent of the parties.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Subject to certain specified exceptions, each party to the separation agreement will assume the liability for, and control of, all pending and threatened legal matters related to its own business, including liabilities for any claims or legal proceedings related to products that had been part of its business but were discontinued prior to the distribution, as well as assumed or retained liabilities and will indemnify the other party for any liability arising out of or resulting from such assumed legal matters. In addition, AbbVie will assume the liability for and control of certain proceedings relating to Depakote.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Insurance</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occurrences prior to the distribution and sets forth procedures for the administration of insured claims. In addition, the separation agreement will allocate between the parties the right to proceeds and the obligation to incur certain deductibles under certain insurance policies. The separation agreement also will provide that Abbott will obtain, subject to the terms of the agreement, certain directors and officers insurance policies to apply against certain pre-separation claims, if any.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Further Assurances</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both AbbVie and Abbott will agree in the separation agreement to use commercially reasonable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Non-Competition</w:t>
      </w:r>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separation agreement will provide that, for ten years following the completion of the distribution (or if not enforceable for ten years in a country, for such period as will be enforceable in such country), subject to certain specified exceptions, Abbott and any of its subsidiaries will not directly or indirectly, anywhere in the world, discover, research, develop, import, export, manufacture, market, distribute, promote or sell any anti-TNF antibody, JAK inhibitor or IL-12 inhibitor.</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Transition Committee</w:t>
      </w:r>
    </w:p>
    <w:p>
      <w:pPr>
        <w:spacing w:after="0" w:line="224"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separation agreement will provide that prior to the completion of the separation, AbbVie and Abbott will establish a transition committee that will consist of an equal number of members from AbbVie and Abbott. The transition committee will be responsible for monitoring and managing all matters related to the separation and all other transactions contemplated by the separation agreement or any ancillary agreement. The transition committee will have the power to establish various subcommittees from time to time as it deems appropriate or as may be described in the ancillary agreements.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Dispute Resolution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AbbVie and Abbott related to the separation or distribution and that are unable to be resolved by the transition committee. These provisions will contemplate that efforts will be made to resolve disputes, controversies and claims by escalation of the matter to senior management or other mutually agreed representatives of AbbVie and Abbott. If such efforts are not successful, either AbbVie or Abbott may submit the dispute, controversy or claim to binding alternative dispute resolution, subject to the provisions of the separation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Expenses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as expressly set forth in the separation agreement or in any ancillary agreement, Abbott will be responsible for all costs and expenses incurred in connection with the separation and distribution incurred prior to the distribution date, including costs and expenses relating to legal and tax counsel, financial advisors and accounting advisory work related to the separation and distribution. Except as expressly set forth in the separation agreement or in any ancillary agreement, or as otherwise agreed in writing by Abbott and AbbVie, all such costs and expenses incurred in connection with the separation and distribution after the distribution will be paid by the party incurring such cost and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Matters</w:t>
      </w:r>
    </w:p>
    <w:p>
      <w:pPr>
        <w:spacing w:after="0" w:line="22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Other matters governed by the separation agreement will include access to financial and other information, confidentiality, access to and provision of records and treatment of outstanding guarantees and similar credit support.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The separation agreement will provide that it may be terminated and the separation and distribution may be modified or abandoned at any time prior to the distribution date in the sole discretion of Abbott without the approval of any person, including AbbVie's or Abbott's shareholders. In the event of a termination of the separation agreement, no party, nor any of its directors, officers, or employees, will have any liability of any kind to the other party or any other person. After the distribution date, the separation agreement may not be terminated except by an agreement in writing signed by both Abbott and AbbVie.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Agreements</w:t>
      </w:r>
    </w:p>
    <w:p>
      <w:pPr>
        <w:spacing w:after="0" w:line="228" w:lineRule="exact"/>
        <w:rPr>
          <w:sz w:val="20"/>
          <w:szCs w:val="20"/>
          <w:color w:val="auto"/>
        </w:rPr>
      </w:pPr>
    </w:p>
    <w:p>
      <w:pPr>
        <w:ind w:right="120" w:firstLine="332"/>
        <w:spacing w:after="0" w:line="279" w:lineRule="auto"/>
        <w:rPr>
          <w:sz w:val="20"/>
          <w:szCs w:val="20"/>
          <w:color w:val="auto"/>
        </w:rPr>
      </w:pPr>
      <w:r>
        <w:rPr>
          <w:rFonts w:ascii="Arial" w:cs="Arial" w:eastAsia="Arial" w:hAnsi="Arial"/>
          <w:sz w:val="16"/>
          <w:szCs w:val="16"/>
          <w:color w:val="auto"/>
        </w:rPr>
        <w:t>AbbVie and Abbott will enter into transition services agreements (one transition services agreement for services to be provided in the United States and one transition services agreement for services to be provided outside the United States) prior to the distribution pursuant to which AbbVie and Abbott and their respective subsidiaries will provide to each other, on an interim, transitional basis, various services. The services to be provided in the United States include information technology, accounts payable, payroll, and other financial functions, as well as engineering support for various facilities, quality assurance support, and other administrative services. The services to be provided outside the United States include information technology, accounts payable, payroll, receivables collection, treasury and other financial functions, as well as order entry, warehousing, and other administrative services. The general governing terms of the transition services agreements will be substantially identical. The agreed upon charges for such services are generally intended to allow the servicing party to recover all out-of-pocket costs and expenses and a predetermined profit equal to a mark-up of such out-of-pocket expenses.</w:t>
      </w:r>
    </w:p>
    <w:p>
      <w:pPr>
        <w:spacing w:after="0" w:line="177"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Each transition services agreement will terminate on the expiration of the term of the last service provided under it, which will generally be up to 24 months following the distribution date, with the option for a one-year extension. The recipient for a particular service generally can terminate that service prior to the scheduled expiration date, subject to a minimum notice period equal to the shorter of 180 days or half of the original service period. Services can only be terminated at a month-end. Due to interdependencies between services, certain services may be extended or terminated early only if other services are likewise extended or terminated.</w:t>
      </w:r>
    </w:p>
    <w:p>
      <w:pPr>
        <w:spacing w:after="0" w:line="187"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has been preparing for the transition away from the services to be provided under the transition services agreements. AbbVie anticipates that it will be in a position to complete the transition away from those services (except for certain information technology-related services) on or before two years following the distribution date.</w:t>
      </w:r>
    </w:p>
    <w:p>
      <w:pPr>
        <w:spacing w:after="0" w:line="179"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Subject to certain exceptions, the liability of each party under the transition services agreements for the services it provides will generally be limited to the aggregate profits it receives in connection with the provision of such services during the twelve-month period prior to a claim. The transition services agreements also provide that the provider of a service shall not be liable to the recipient of such service for any special, indirect, incidental, or consequential damages.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Products Master Agreement</w:t>
      </w:r>
    </w:p>
    <w:p>
      <w:pPr>
        <w:spacing w:after="0" w:line="228"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and Abbott will enter into a special products master agreement prior to the separation which will specify which assets and liabilities of the following pharmaceutical products, referred to as the Special Products, are being transferred to AbbVie or retained by Abbott as part of the separation: AndroGel, Creon, Niaspan, Synthroid, Simcor, TriCor/Trilipix, Biaxin/Clarithromycin, Marinol, Advicor, Mavik, Tarka, Teveten, Depakote, and Luvox. The special products master agreement will generally govern Abbott's and AbbVie's respective rights, responsibilities and obligations after the distribution with respect to the development, manufacturing, marketing, distribution, promotion, and sale of the Special Products. AbbVie will have rights to AndroGel, Creon, Niaspan, Synthroid, TriCor/Trilipix, Biaxin/Clarithromycin, Marinol, Mavik, Tarka, Teveten, and Depakote only in the United States. AbbVie will have rights to Simcor and Advicor worldwide, except Canada. In addition, AbbVie will have the rights to Luvox only in Japan.</w:t>
      </w:r>
    </w:p>
    <w:p>
      <w:pPr>
        <w:spacing w:after="0" w:line="190"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The special products master agreement is expected to remain in effect for as long as either company is commercializing a special product and can be terminated by an agreement in writing signed by each of Abbott and AbbVie. In addition, if Abbott or AbbVie notifies the other party that it has discontinued all commercialization activities with respect to a Special Product, certain of Abbott's and AbbVie's obligations under the special products master agreement will expire with respect to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Special Product. Each party is responsible, at its own cost and expense, for commercializing the Special Products in the territories granted to it under the agreement, including establishing conditions of sale, pricing, and booking sales.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Sharing Agreement</w:t>
      </w:r>
    </w:p>
    <w:p>
      <w:pPr>
        <w:spacing w:after="0" w:line="228"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AbbVie and Abbott will enter into a tax sharing agreement prior to the distribution which will generally govern Abbott's and AbbVie's respective rights, responsibilities and obligations after the distribution with respect to taxes for any tax period ending on or before the distribution date, as well as tax periods beginning before and ending after the distribution date. Generally, Abbott will be liable for all pre-distribution U.S. federal income taxes, foreign income taxes and certain non-income taxes attributable to AbbVie's business. AbbVie generally will be liable for all other taxes attributable to its business. In addition, the tax sharing agreement will address the allocation of liability for taxes that are incurred as a result of restructuring activities undertaken to effectuate the distribution. The tax sharing agreement will also provide that AbbVie is liable for taxes incurred by Abbott that may arise if AbbVie takes, or fails to take, as the case may be, certain actions that may result in the distribution failing to meet the requirements of a tax-free distribution under Section 355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 Agreement</w:t>
      </w:r>
    </w:p>
    <w:p>
      <w:pPr>
        <w:spacing w:after="0" w:line="228" w:lineRule="exact"/>
        <w:rPr>
          <w:sz w:val="20"/>
          <w:szCs w:val="20"/>
          <w:color w:val="auto"/>
        </w:rPr>
      </w:pPr>
    </w:p>
    <w:p>
      <w:pPr>
        <w:jc w:val="both"/>
        <w:ind w:right="380" w:firstLine="332"/>
        <w:spacing w:after="0" w:line="322" w:lineRule="auto"/>
        <w:rPr>
          <w:sz w:val="20"/>
          <w:szCs w:val="20"/>
          <w:color w:val="auto"/>
        </w:rPr>
      </w:pPr>
      <w:r>
        <w:rPr>
          <w:rFonts w:ascii="Arial" w:cs="Arial" w:eastAsia="Arial" w:hAnsi="Arial"/>
          <w:sz w:val="15"/>
          <w:szCs w:val="15"/>
          <w:color w:val="auto"/>
        </w:rPr>
        <w:t>AbbVie and Abbott will enter into an employee matters agreement prior to the distribution to allocate liabilities and responsibilities relating to employment matters, employee compensation and benefits plans and programs and other related matters. The employee matters agreement will govern Abbott's and AbbVie's compensation and employee benefit obligations with respect to the current and former employees and non-employee directors of each company.</w:t>
      </w:r>
    </w:p>
    <w:p>
      <w:pPr>
        <w:spacing w:after="0" w:line="145" w:lineRule="exact"/>
        <w:rPr>
          <w:sz w:val="20"/>
          <w:szCs w:val="20"/>
          <w:color w:val="auto"/>
        </w:rPr>
      </w:pPr>
    </w:p>
    <w:p>
      <w:pPr>
        <w:jc w:val="both"/>
        <w:ind w:right="60" w:firstLine="338"/>
        <w:spacing w:after="0" w:line="265" w:lineRule="auto"/>
        <w:rPr>
          <w:sz w:val="20"/>
          <w:szCs w:val="20"/>
          <w:color w:val="auto"/>
        </w:rPr>
      </w:pPr>
      <w:r>
        <w:rPr>
          <w:rFonts w:ascii="Arial" w:cs="Arial" w:eastAsia="Arial" w:hAnsi="Arial"/>
          <w:sz w:val="17"/>
          <w:szCs w:val="17"/>
          <w:color w:val="auto"/>
        </w:rPr>
        <w:t>The employee matters agreement will provide that, unless otherwise specified, Abbott will be responsible for liabilities associated with employees who continue service with Abbott following the distribution date and liabilities associated with former employees whose last employment was not with the AbbVie businesses, and AbbVie will be responsible for liabilities associated with employees who transfer to AbbVie and liabilities associated with former employees whose last employment was with the AbbVie businesses.</w:t>
      </w:r>
    </w:p>
    <w:p>
      <w:pPr>
        <w:spacing w:after="0" w:line="185"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 employees generally will become eligible to participate in AbbVie benefit plans as of the distribution date. In general, AbbVie benefit plans will contain terms substantially similar to those of the corresponding Abbott plans. Abbott and AbbVie have agreed to continue benefit programs in the United States (including Puerto Rico) through December 31, 2013, subject to changes in the ordinary course of business or as required by law.</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general, AbbVie will credit each employee with his or her service with Abbott prior to the distribution for all purposes under the AbbVie benefit plans, so long as such crediting does not result in a duplication of benefits.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Retirement and Deferred Compensation Programs</w:t>
      </w:r>
    </w:p>
    <w:p>
      <w:pPr>
        <w:spacing w:after="0" w:line="224"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will establish a defined benefit pension plan (the AbbVie Pension Plan), which will be substantially similar to the Abbott Annuity Retirement Plan and will include the same benefit formula that is in effect under the Abbott Annuity Retirement Plan as of the distribution date. The AbbVie Pension Plan will provide benefits to AbbVie U.S. employees transferred in connection with the separation who had participated in the Abbott Annuity Retirement Plan. The AbbVie Pension Plan will accept assets and assume liabilities from the Abbott Annuity Retirement Plan which relate to transferred employees. After the distribution date, a portion of the assets of the trust funding the Abbott Annuity Retirement Plan will be transferred to a trust designated to fund the AbbVie Pension Plan. Transferred employees will be eligible to participate in the AbbVie Pension Plan to the extent they were eligible to participate in the Abbott Annuity Retirement Plan, and they will receive credit for</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auto"/>
        </w:rPr>
        <w:t>Abbott service to the extent credited under the Abbott Annuity Retirement Plan and recognition for compensation paid by Abbott as though it were compensation paid by AbbVie. Accrued benefits for transferred employees under the Abbott Annuity Retirement Plan will be payable under the AbbVie Pension Plan.</w:t>
      </w:r>
    </w:p>
    <w:p>
      <w:pPr>
        <w:spacing w:after="0" w:line="146"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Abbott and AbbVie will jointly establish and sponsor a defined benefit pension plan to provide benefits to participants in the Abbott Annuity Retirement Plan who terminate service with Abbott before the distribution date. The benefits provided to former employees will be the same as those they would have received or are receiving under the Abbott Annuity Retirement Plan as of the distribution date. The jointly sponsored plan will accept assets and assume liabilities from the Abbott Annuity Retirement Plan which relate to former employees. As soon as practicable after the distribution date, a portion of the assets of the trust funding the Abbott Annuity Retirement Plan related to the former employees who were participating in the Abbott Annuity Retirement Plan immediately before the distribution date will be transferred to a trust designated to fund the jointly sponsored plan. Each former employee's benefit under the jointly sponsored plan after the distribution date will be his or her accrued benefit under the Abbott Annuity Retirement Plan immediately before the distribution date, and will be paid under the jointly sponsored plan at the time and in a form that would have been permitted under the Abbott Annuity Retirement Plan.</w:t>
      </w:r>
    </w:p>
    <w:p>
      <w:pPr>
        <w:spacing w:after="0" w:line="177"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Defined contribution and deferred compensation accounts of AbbVie's U.S. employees (including loans) will be transferred from the applicable Abbott defined contribution retirement or deferred compensation plan to the corresponding AbbVie plan. AbbVie will also assume liabilities for U.S. non-qualified defined benefit pension benefits of AbbVie employees. In general, Abbott will retain liability for benefits of former employees under U.S. qualified defined contribution, non-qualified deferred compensation, and non-qualified defined benefit pension plans, although in some cases AbbVie will reimburse Abbott for a portion of the expense associated with former employees.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Welfare Plans</w:t>
      </w:r>
    </w:p>
    <w:p>
      <w:pPr>
        <w:spacing w:after="0" w:line="224"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Abbott will retain liability for claims incurred under the Abbott health and welfare plans prior to the distribution date, whether incurred by employees who will be employed by Abbott or AbbVie following the distribution date or by former employees. Following the distribution date, AbbVie employees will commence participation in AbbVie health and welfare plans. In general, Abbott will retain liability for U.S. retiree medical and life insurance benefits for employees continuing with Abbott and for former employees, although AbbVie will reimburse Abbott for a portion of the expense associated with former employees.</w:t>
      </w:r>
    </w:p>
    <w:p>
      <w:pPr>
        <w:spacing w:after="0" w:line="169"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will be responsible for workers' compensation and disability benefits for employees continuing with Abbott following the distribution date and for former employees whose last employment was not with the AbbVie businesses, and AbbVie will be responsible for workers' compensation and disability benefits for employees transferring to AbbVie and for former employees whose last employment was with the AbbVie businesses. AbbVie also will be responsible for certain other benefits for former employees who are on disability leave and whose last employment was with the AbbVie businesses.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Equity Compensation Awards</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employee matters agreement will provide for the conversion of all outstanding awards granted under Abbott's equity compensation programs (whether held by Abbott or AbbVie employees or other participants) into adjusted awards based on both Abbott common shares and AbbVie common stock. For purposes of adjusted award vesting, continued employment or service with Abbott or AbbVie, as applicable, will be treated as continued employment or service for both Abbott and AbbVie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Holders of Abbott restricted shares or restricted stock units will retain those awards and also will receive restricted stock or restricted stock units of AbbVie, in an amount that reflects the distribution to Abbott shareholders, by applying the distribution ratio to the Abbott restricted shares or restricted stock units as though they were unrestricted Abbott shares. Together, the Abbott and AbbVie awards are intended to preserve the value of the original Abbott restricted shares or restricted stock units as measured immediately before and immediately after the distribution. The original Abbott restricted shares and restricted stock units and the AbbVie restricted stock and restricted stock units will be subject to substantially the same terms, vesting conditions and other restrictions that applied to the original Abbott restricted shares and restricted stock units, respectively, immediately before the distribution. Dividend equivalent payments on restricted stock units will be paid by the restricted stock unit holder's employer (Abbott or AbbVie, as applicable).</w:t>
      </w:r>
    </w:p>
    <w:p>
      <w:pPr>
        <w:spacing w:after="0" w:line="175"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Each Abbott stock option will be converted into an adjusted Abbott stock option and an AbbVie stock option, which together are intended to preserve the aggregate value of the original Abbott stock option as measured immediately before and immediately after the distribution. The adjusted Abbott stock option is expected to cover the same number of shares as the original Abbott stock option, but the exercise price will be adjusted to reflect the distribution. The adjusted Abbott stock options and the AbbVie stock options will be subject to substantially the same terms, vesting conditions, post-termination exercise rules, and other restrictions that applied to the original Abbott stock option immediately before the distribution.</w:t>
      </w:r>
    </w:p>
    <w:p>
      <w:pPr>
        <w:spacing w:after="0" w:line="187"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If local regulations outside the United States do not permit use of the adjustment method described above or would cause an adverse effect for equity award holders, a compliant alternative adjustment method will be used. In such cases, affected employees typically will receive adjusted awards in the equity of their post-distribution employer.</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Miscellaneous</w:t>
      </w:r>
    </w:p>
    <w:p>
      <w:pPr>
        <w:spacing w:after="0" w:line="224" w:lineRule="exact"/>
        <w:rPr>
          <w:sz w:val="20"/>
          <w:szCs w:val="20"/>
          <w:color w:val="auto"/>
        </w:rPr>
      </w:pPr>
    </w:p>
    <w:p>
      <w:pPr>
        <w:ind w:right="280" w:firstLine="338"/>
        <w:spacing w:after="0" w:line="270" w:lineRule="auto"/>
        <w:rPr>
          <w:sz w:val="20"/>
          <w:szCs w:val="20"/>
          <w:color w:val="auto"/>
        </w:rPr>
      </w:pPr>
      <w:r>
        <w:rPr>
          <w:rFonts w:ascii="Arial" w:cs="Arial" w:eastAsia="Arial" w:hAnsi="Arial"/>
          <w:sz w:val="17"/>
          <w:szCs w:val="17"/>
          <w:color w:val="auto"/>
        </w:rPr>
        <w:t>The employee matters agreement will address other employee-related issues and certain special circumstances, including employees who will transfer to their eventual permanent employer on a delayed basis, special rules for benefit arrangements in various non-U.S. jurisdictions, and treatment of certain legacy plans originally adopted by companies that have been acquired by Abbott.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Commercial Operations Agreements</w:t>
      </w:r>
    </w:p>
    <w:p>
      <w:pPr>
        <w:spacing w:after="0" w:line="228"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local separation of AbbVie's business in certain countries outside the United States will not occur until after the distribution date due to regulatory requirements, the need to obtain consents from local governmental authorities, and other business reasons. The international commercial operations agreement and the Luxembourg international commercial operations agreement will provide for the conduct of the AbbVie business by Abbott in such countries until the local separation is completed, and will provide that AbbVie will be subject to all the risks and burdens and entitled to all the benefits generated by the AbbVie business during such period. The international commercial operations agreements will also govern the process for the local separation of AbbVie's business following the distribution date. The agreements will expire on the earlier of the last local separation date and the second anniversary of the distribution date (or, in the case of Brazil, the third anniversary of the distribution date).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Agreement</w:t>
      </w:r>
    </w:p>
    <w:p>
      <w:pPr>
        <w:spacing w:after="0" w:line="228" w:lineRule="exact"/>
        <w:rPr>
          <w:sz w:val="20"/>
          <w:szCs w:val="20"/>
          <w:color w:val="auto"/>
        </w:rPr>
      </w:pPr>
    </w:p>
    <w:p>
      <w:pPr>
        <w:jc w:val="both"/>
        <w:ind w:right="40" w:firstLine="332"/>
        <w:spacing w:after="0" w:line="265" w:lineRule="auto"/>
        <w:rPr>
          <w:sz w:val="20"/>
          <w:szCs w:val="20"/>
          <w:color w:val="auto"/>
        </w:rPr>
      </w:pPr>
      <w:r>
        <w:rPr>
          <w:rFonts w:ascii="Arial" w:cs="Arial" w:eastAsia="Arial" w:hAnsi="Arial"/>
          <w:sz w:val="17"/>
          <w:szCs w:val="17"/>
          <w:color w:val="auto"/>
        </w:rPr>
        <w:t>AbbVie and Abbott will enter into an information technology agreement that provides for the separation of various information technology systems and services that AbbVie currently shares with Abbott. The information technology agreement will specify the parties' responsibilities and allocation of associated project costs to effect the separation of the information technology systems. The information technology agreement will terminate two years from the distribution date, with an option for a one-year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52" w:lineRule="auto"/>
        <w:rPr>
          <w:sz w:val="20"/>
          <w:szCs w:val="20"/>
          <w:color w:val="auto"/>
        </w:rPr>
      </w:pPr>
      <w:r>
        <w:rPr>
          <w:rFonts w:ascii="Arial" w:cs="Arial" w:eastAsia="Arial" w:hAnsi="Arial"/>
          <w:sz w:val="15"/>
          <w:szCs w:val="15"/>
          <w:color w:val="auto"/>
        </w:rPr>
        <w:t>extension. Either AbbVie or Abbott can terminate a project covered by the information technology agreement on 90 days' notice in order to transfer to itself the control and responsibility for that project. The information technology agreement does not otherwise contain any rights of AbbVie or Abbott to terminate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Agreements</w:t>
      </w:r>
    </w:p>
    <w:p>
      <w:pPr>
        <w:spacing w:after="0" w:line="228"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AbbVie will enter into finished good supply agreements and contract manufacturing agreements with Abbott prior to the distribution pursuant to which AbbVie or Abbott, as the case may be, will manufacture, label, and package products for the other party. Under the finished goods supply agreements, Abbott will manufacture for AbbVie the active pharmaceutical ingredients for Trilipix, Depakote, and Biaxin/Clarithromycin, in each case to be sold in the United States. Abbott will also supply to AbbVie the active pharmaceutical ingredient for Tarka to be sold in the United States and Luvox to be sold in Japan. In addition, Abbott will manufacture for AbbVie Creon to be sold in the United States, and tubing for Duodopa. Under the contract manufacturing agreements, Abbott will provide AbbVie with local packaging services for HUMIRA, Kaletra, Norvir, and Synagis for Japan, local packaging services for HUMIRA, Kaletra, Lupron, Norvir, Simdax, Survanta, Synagis, and Zemplar for Mexico, local packaging services for HUMIRA, Kaletra, Norvir, and Survanta for Argentina, and local filling and packaging services for Sevoflurane (for human use) and Forane for Latin America. In addition, AbbVie will enter into finished goods supply agreements and contract manufacturing agreements with Abbott to manufacture for Abbott Special Products and certain other pharmaceutical products.</w:t>
      </w:r>
    </w:p>
    <w:p>
      <w:pPr>
        <w:spacing w:after="0" w:line="179"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These manufacturing and supply agreements will have a term of up to five years. Either party may terminate an agreement upon a material breach by the other party that is not cured within thirty 30 days, or if the other party is debarred or becomes insolvent or bankrupt. The purchasing party may also terminate an agreement if the manufacturing party materially violates applicable law; a governmental authority ruling or interpretation makes it impossible or commercially impracticable to continue the agreement; or there is a recall of products due to the manufacturing party's negligence, recklessness, willful misconduct, or material breach of the agreement.</w:t>
      </w:r>
    </w:p>
    <w:p>
      <w:pPr>
        <w:spacing w:after="0" w:line="187"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Under the finished goods supply agreements, the party purchasing finished goods will pay a fixed product cost, and the manufacturing party will be responsible for all costs associated with the manufacture of products, including the costs of raw materials and active pharmaceutical ingredients. Under the contract manufacturing agreements, the party purchasing goods will provide the manufacturing party with active pharmaceutical ingredients or unfinished goods and will pay for the services provided by the manufacturing party.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Transitional Trademark License Agreement</w:t>
      </w:r>
    </w:p>
    <w:p>
      <w:pPr>
        <w:spacing w:after="0" w:line="228"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AbbVie and Abbott will enter into a transitional trademark license agreement pursuant to which each will grant the other a non-exclusive, royalty-free and worldwide license to use certain of each other's trademarks following separation. The license to AbbVie will allow it to continue using certain of Abbott's trademarks in order to provide sufficient time for AbbVie to rebrand or phase out its use of the licensed marks. AbbVie will be required to cease all use of the licensed marks within a certain period of time after the distribution date, which period will be determined as follows: five years from the distribution date for use of the licensed marks on the products themselves, two years from the distribution date for other uses of the licensed marks on product packaging and labeling, and one year from the distribution date for uses of the licensed marks in other electronic and printed materials. If AbbVie is unable to discontinue use of the licensed marks within these time frames, it may request Abbott's consent for an extension with such consent not to be unreasonably withheld. The license to Abbott will allow it to use certain of AbbVie's trademarks in the course of providing services to AbbVie following the distribution date pursuant to the terms and conditions of the transition services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agreements and international commercial operations agreements. The term of this license from AbbVie to Abbott will be for the duration of the services being provided. Either party may immediately terminate its license to the other if the other party breaches the agreement's use restrictions or contests the licensing party's trademark rights and fails to cure such breach within a reasonable period of time.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Agreements</w:t>
      </w:r>
    </w:p>
    <w:p>
      <w:pPr>
        <w:spacing w:after="0" w:line="228" w:lineRule="exact"/>
        <w:rPr>
          <w:sz w:val="20"/>
          <w:szCs w:val="20"/>
          <w:color w:val="auto"/>
        </w:rPr>
      </w:pPr>
    </w:p>
    <w:p>
      <w:pPr>
        <w:ind w:right="40" w:firstLine="332"/>
        <w:spacing w:after="0" w:line="306" w:lineRule="auto"/>
        <w:rPr>
          <w:sz w:val="20"/>
          <w:szCs w:val="20"/>
          <w:color w:val="auto"/>
        </w:rPr>
      </w:pPr>
      <w:r>
        <w:rPr>
          <w:rFonts w:ascii="Arial" w:cs="Arial" w:eastAsia="Arial" w:hAnsi="Arial"/>
          <w:sz w:val="15"/>
          <w:szCs w:val="15"/>
          <w:color w:val="auto"/>
        </w:rPr>
        <w:t>AbbVie and Abbott will enter into lease agreements prior to the distribution, pursuant to which AbbVie or Abbott, as the case may be, will lease office, warehouse, laboratory and manufacturing facilities from the other party. AbbVie will lease from Abbott a portion of Abbott Park, Abbott's current headquarters, as well as office and warehouse space in Germany and Chile, manufacturing and office space in Spain, and office space in Mexico. Abbott will lease from AbbVie manufacturing, office, and warehouse facilities in Puerto Rico, Germany, Ireland, and Italy and laboratory space in the United States. Other than the lease for a portion of Abbott Park, which has an initial term of 20 years, the agreements under which AbbVie leases property from Abbott have terms ranging from one to two years.</w:t>
      </w:r>
    </w:p>
    <w:p>
      <w:pPr>
        <w:spacing w:after="0" w:line="159"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Each of AbbVie and Abbott, as lessee, will pay rent to the other party. Rent payments will generally be adjusted each year of the lease to reflect increase or decreases in operating and maintenance expenses and other factors. The lessor may generally terminate the leases in the event of a material uncured default by the lessee.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228" w:lineRule="exact"/>
        <w:rPr>
          <w:sz w:val="20"/>
          <w:szCs w:val="20"/>
          <w:color w:val="auto"/>
        </w:rPr>
      </w:pPr>
    </w:p>
    <w:p>
      <w:pPr>
        <w:ind w:right="360" w:firstLine="332"/>
        <w:spacing w:after="0" w:line="287" w:lineRule="auto"/>
        <w:rPr>
          <w:sz w:val="20"/>
          <w:szCs w:val="20"/>
          <w:color w:val="auto"/>
        </w:rPr>
      </w:pPr>
      <w:r>
        <w:rPr>
          <w:rFonts w:ascii="Arial" w:cs="Arial" w:eastAsia="Arial" w:hAnsi="Arial"/>
          <w:sz w:val="16"/>
          <w:szCs w:val="16"/>
          <w:color w:val="auto"/>
        </w:rPr>
        <w:t>AbbVie's board of directors is expected to adopt a written Related Person Transaction Policy and Procedures. This policy will require the Nominations and Governance Committee to review, approve, or ratify any transaction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will be identified in:</w:t>
      </w:r>
    </w:p>
    <w:p>
      <w:pPr>
        <w:spacing w:after="0" w:line="182" w:lineRule="exact"/>
        <w:rPr>
          <w:sz w:val="20"/>
          <w:szCs w:val="20"/>
          <w:color w:val="auto"/>
        </w:rPr>
      </w:pPr>
    </w:p>
    <w:p>
      <w:pPr>
        <w:ind w:left="1060" w:hanging="531"/>
        <w:spacing w:after="0"/>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officers;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certifications submitted annually by AbbVie officers related to their compliance with AbbVie's Code of Business Conduct;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whether to approve or ratify a related person transaction, the Nominations and Governance Committee will consider the following items, among others:</w:t>
      </w:r>
    </w:p>
    <w:p>
      <w:pPr>
        <w:spacing w:after="0" w:line="260" w:lineRule="exact"/>
        <w:rPr>
          <w:sz w:val="20"/>
          <w:szCs w:val="20"/>
          <w:color w:val="auto"/>
        </w:rPr>
      </w:pPr>
    </w:p>
    <w:p>
      <w:pPr>
        <w:ind w:left="1060" w:hanging="531"/>
        <w:spacing w:after="0"/>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material facts of the transaction, including the aggregate value of such transaction or, in the case of indebtedness, the amount of principal involved;</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an assessment of whether the transaction is on terms that are comparable to the terms available to an unrelated third party or to employees generally;</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This process will be included in the nominations and governance committee's written charter, which will be available on the corporate governance section of AbbVie's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7"/>
                <w:szCs w:val="17"/>
                <w:color w:val="auto"/>
              </w:rPr>
              <w:t>investor relations Web site (</w:t>
            </w:r>
            <w:r>
              <w:rPr>
                <w:rFonts w:ascii="Arial" w:cs="Arial" w:eastAsia="Arial" w:hAnsi="Arial"/>
                <w:sz w:val="17"/>
                <w:szCs w:val="17"/>
                <w:i w:val="1"/>
                <w:iCs w:val="1"/>
                <w:color w:val="auto"/>
              </w:rPr>
              <w:t>www.</w:t>
            </w:r>
          </w:p>
        </w:tc>
        <w:tc>
          <w:tcPr>
            <w:tcW w:w="8800" w:type="dxa"/>
            <w:vAlign w:val="bottom"/>
          </w:tcPr>
          <w:p>
            <w:pPr>
              <w:jc w:val="right"/>
              <w:ind w:right="7935"/>
              <w:spacing w:after="0"/>
              <w:rPr>
                <w:sz w:val="20"/>
                <w:szCs w:val="20"/>
                <w:color w:val="auto"/>
              </w:rPr>
            </w:pPr>
            <w:r>
              <w:rPr>
                <w:rFonts w:ascii="Arial" w:cs="Arial" w:eastAsia="Arial" w:hAnsi="Arial"/>
                <w:sz w:val="17"/>
                <w:szCs w:val="17"/>
                <w:i w:val="1"/>
                <w:iCs w:val="1"/>
                <w:color w:val="auto"/>
              </w:rPr>
              <w:t>.com</w:t>
            </w:r>
            <w:r>
              <w:rPr>
                <w:rFonts w:ascii="Arial" w:cs="Arial" w:eastAsia="Arial" w:hAnsi="Arial"/>
                <w:sz w:val="17"/>
                <w:szCs w:val="17"/>
                <w:color w:val="auto"/>
              </w:rPr>
              <w:t>).</w:t>
            </w:r>
          </w:p>
        </w:tc>
      </w:tr>
      <w:tr>
        <w:trPr>
          <w:trHeight w:val="413"/>
        </w:trPr>
        <w:tc>
          <w:tcPr>
            <w:tcW w:w="2620" w:type="dxa"/>
            <w:vAlign w:val="bottom"/>
          </w:tcPr>
          <w:p>
            <w:pPr>
              <w:spacing w:after="0"/>
              <w:rPr>
                <w:sz w:val="24"/>
                <w:szCs w:val="24"/>
                <w:color w:val="auto"/>
              </w:rPr>
            </w:pPr>
          </w:p>
        </w:tc>
        <w:tc>
          <w:tcPr>
            <w:tcW w:w="8800" w:type="dxa"/>
            <w:vAlign w:val="bottom"/>
          </w:tcPr>
          <w:p>
            <w:pPr>
              <w:jc w:val="right"/>
              <w:ind w:right="5495"/>
              <w:spacing w:after="0"/>
              <w:rPr>
                <w:sz w:val="20"/>
                <w:szCs w:val="20"/>
                <w:color w:val="auto"/>
              </w:rPr>
            </w:pPr>
            <w:r>
              <w:rPr>
                <w:rFonts w:ascii="Arial" w:cs="Arial" w:eastAsia="Arial" w:hAnsi="Arial"/>
                <w:sz w:val="17"/>
                <w:szCs w:val="17"/>
                <w:color w:val="auto"/>
              </w:rPr>
              <w:t>145</w:t>
            </w:r>
          </w:p>
        </w:tc>
      </w:tr>
      <w:tr>
        <w:trPr>
          <w:trHeight w:val="222"/>
        </w:trPr>
        <w:tc>
          <w:tcPr>
            <w:tcW w:w="26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Before the separation, all of the outstanding shares of AbbVie's common stock will be owned beneficially and of record by Abbott. The following table sets forth</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information, immediately following the completion of the separation calculated as of , based upon the distribution of share[s] of AbbVie's common stock for each common share of Abbott, regarding, (1) each person who is known by AbbVie who will beneficially own more than five percent of AbbVie's common stock, (2) each expected director, director nominee and named executive and (3) all of AbbVie's expected directors, director nominees and executive officers as a group.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gridSpan w:val="8"/>
          </w:tcPr>
          <w:p>
            <w:pPr>
              <w:spacing w:after="0"/>
              <w:rPr>
                <w:sz w:val="20"/>
                <w:szCs w:val="20"/>
                <w:color w:val="auto"/>
              </w:rPr>
            </w:pPr>
            <w:r>
              <w:rPr>
                <w:rFonts w:ascii="Arial" w:cs="Arial" w:eastAsia="Arial" w:hAnsi="Arial"/>
                <w:sz w:val="17"/>
                <w:szCs w:val="17"/>
                <w:color w:val="auto"/>
                <w:w w:val="91"/>
              </w:rPr>
              <w:t>address of each director, director nominee and executive officer shown in the table below is c/o AbbVie, Attention:</w:t>
            </w:r>
          </w:p>
        </w:tc>
        <w:tc>
          <w:tcPr>
            <w:tcW w:w="3560" w:type="dxa"/>
            <w:vAlign w:val="bottom"/>
            <w:gridSpan w:val="5"/>
          </w:tcPr>
          <w:p>
            <w:pPr>
              <w:ind w:left="500"/>
              <w:spacing w:after="0"/>
              <w:rPr>
                <w:sz w:val="20"/>
                <w:szCs w:val="20"/>
                <w:color w:val="auto"/>
              </w:rPr>
            </w:pPr>
            <w:r>
              <w:rPr>
                <w:rFonts w:ascii="Arial" w:cs="Arial" w:eastAsia="Arial" w:hAnsi="Arial"/>
                <w:sz w:val="17"/>
                <w:szCs w:val="17"/>
                <w:color w:val="auto"/>
                <w:w w:val="95"/>
              </w:rPr>
              <w:t>, 1 North Waukegan Road, North Chicago,</w:t>
            </w:r>
          </w:p>
        </w:tc>
      </w:tr>
      <w:tr>
        <w:trPr>
          <w:trHeight w:val="216"/>
        </w:trPr>
        <w:tc>
          <w:tcPr>
            <w:tcW w:w="2020" w:type="dxa"/>
            <w:vAlign w:val="bottom"/>
            <w:gridSpan w:val="3"/>
          </w:tcPr>
          <w:p>
            <w:pPr>
              <w:spacing w:after="0"/>
              <w:rPr>
                <w:sz w:val="20"/>
                <w:szCs w:val="20"/>
                <w:color w:val="auto"/>
              </w:rPr>
            </w:pPr>
            <w:r>
              <w:rPr>
                <w:rFonts w:ascii="Arial" w:cs="Arial" w:eastAsia="Arial" w:hAnsi="Arial"/>
                <w:sz w:val="17"/>
                <w:szCs w:val="17"/>
                <w:color w:val="auto"/>
              </w:rPr>
              <w:t>Illinois 60064.</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44"/>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b w:val="1"/>
                <w:bCs w:val="1"/>
                <w:color w:val="auto"/>
                <w:w w:val="91"/>
              </w:rPr>
              <w:t>Beneficial</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1"/>
              </w:rPr>
              <w:t>Ownership of</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4"/>
              </w:rPr>
              <w:t>AbbVie's</w:t>
            </w:r>
          </w:p>
        </w:tc>
        <w:tc>
          <w:tcPr>
            <w:tcW w:w="160" w:type="dxa"/>
            <w:vAlign w:val="bottom"/>
          </w:tcPr>
          <w:p>
            <w:pPr>
              <w:spacing w:after="0"/>
              <w:rPr>
                <w:sz w:val="12"/>
                <w:szCs w:val="12"/>
                <w:color w:val="auto"/>
              </w:rPr>
            </w:pPr>
          </w:p>
        </w:tc>
        <w:tc>
          <w:tcPr>
            <w:tcW w:w="2480" w:type="dxa"/>
            <w:vAlign w:val="bottom"/>
            <w:gridSpan w:val="3"/>
          </w:tcPr>
          <w:p>
            <w:pPr>
              <w:jc w:val="right"/>
              <w:ind w:right="1960"/>
              <w:spacing w:after="0" w:line="144" w:lineRule="exact"/>
              <w:rPr>
                <w:sz w:val="20"/>
                <w:szCs w:val="20"/>
                <w:color w:val="auto"/>
              </w:rPr>
            </w:pPr>
            <w:r>
              <w:rPr>
                <w:rFonts w:ascii="Arial" w:cs="Arial" w:eastAsia="Arial" w:hAnsi="Arial"/>
                <w:sz w:val="13"/>
                <w:szCs w:val="13"/>
                <w:b w:val="1"/>
                <w:bCs w:val="1"/>
                <w:color w:val="auto"/>
              </w:rPr>
              <w:t>Percent</w:t>
            </w:r>
          </w:p>
        </w:tc>
      </w:tr>
      <w:tr>
        <w:trPr>
          <w:trHeight w:val="157"/>
        </w:trPr>
        <w:tc>
          <w:tcPr>
            <w:tcW w:w="1720" w:type="dxa"/>
            <w:vAlign w:val="bottom"/>
          </w:tcPr>
          <w:p>
            <w:pPr>
              <w:spacing w:after="0"/>
              <w:rPr>
                <w:sz w:val="13"/>
                <w:szCs w:val="13"/>
                <w:color w:val="auto"/>
              </w:rPr>
            </w:pPr>
          </w:p>
        </w:tc>
        <w:tc>
          <w:tcPr>
            <w:tcW w:w="3340" w:type="dxa"/>
            <w:vAlign w:val="bottom"/>
            <w:gridSpan w:val="5"/>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60" w:type="dxa"/>
            <w:vAlign w:val="bottom"/>
          </w:tcPr>
          <w:p>
            <w:pPr>
              <w:spacing w:after="0"/>
              <w:rPr>
                <w:sz w:val="13"/>
                <w:szCs w:val="13"/>
                <w:color w:val="auto"/>
              </w:rPr>
            </w:pPr>
          </w:p>
        </w:tc>
        <w:tc>
          <w:tcPr>
            <w:tcW w:w="2480" w:type="dxa"/>
            <w:vAlign w:val="bottom"/>
            <w:gridSpan w:val="3"/>
          </w:tcPr>
          <w:p>
            <w:pPr>
              <w:jc w:val="right"/>
              <w:ind w:right="1960"/>
              <w:spacing w:after="0"/>
              <w:rPr>
                <w:sz w:val="20"/>
                <w:szCs w:val="20"/>
                <w:color w:val="auto"/>
              </w:rPr>
            </w:pPr>
            <w:r>
              <w:rPr>
                <w:rFonts w:ascii="Arial" w:cs="Arial" w:eastAsia="Arial" w:hAnsi="Arial"/>
                <w:sz w:val="13"/>
                <w:szCs w:val="13"/>
                <w:b w:val="1"/>
                <w:bCs w:val="1"/>
                <w:color w:val="auto"/>
                <w:w w:val="98"/>
              </w:rPr>
              <w:t>of Class</w:t>
            </w:r>
          </w:p>
        </w:tc>
      </w:tr>
      <w:tr>
        <w:trPr>
          <w:trHeight w:val="203"/>
        </w:trPr>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C. Alban</w:t>
            </w:r>
          </w:p>
        </w:tc>
        <w:tc>
          <w:tcPr>
            <w:tcW w:w="9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W. J. Chase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 A. Gonzalez</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J. M. Leonard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w w:val="93"/>
              </w:rPr>
              <w:t>All directors and executive officers as a group (</w:t>
            </w:r>
          </w:p>
        </w:tc>
        <w:tc>
          <w:tcPr>
            <w:tcW w:w="2800" w:type="dxa"/>
            <w:vAlign w:val="bottom"/>
            <w:gridSpan w:val="2"/>
          </w:tcPr>
          <w:p>
            <w:pPr>
              <w:ind w:left="80"/>
              <w:spacing w:after="0"/>
              <w:rPr>
                <w:sz w:val="20"/>
                <w:szCs w:val="20"/>
                <w:color w:val="auto"/>
              </w:rPr>
            </w:pPr>
            <w:r>
              <w:rPr>
                <w:rFonts w:ascii="Arial" w:cs="Arial" w:eastAsia="Arial" w:hAnsi="Arial"/>
                <w:sz w:val="17"/>
                <w:szCs w:val="17"/>
                <w:color w:val="auto"/>
              </w:rPr>
              <w:t>persons)</w:t>
            </w: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99"/>
        </w:trPr>
        <w:tc>
          <w:tcPr>
            <w:tcW w:w="17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2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423"/>
        </w:trPr>
        <w:tc>
          <w:tcPr>
            <w:tcW w:w="2020" w:type="dxa"/>
            <w:vAlign w:val="bottom"/>
            <w:gridSpan w:val="3"/>
          </w:tcPr>
          <w:p>
            <w:pPr>
              <w:ind w:left="1720"/>
              <w:spacing w:after="0"/>
              <w:rPr>
                <w:sz w:val="20"/>
                <w:szCs w:val="20"/>
                <w:color w:val="auto"/>
              </w:rPr>
            </w:pPr>
            <w:r>
              <w:rPr>
                <w:rFonts w:ascii="Arial" w:cs="Arial" w:eastAsia="Arial" w:hAnsi="Arial"/>
                <w:sz w:val="17"/>
                <w:szCs w:val="17"/>
                <w:color w:val="auto"/>
              </w:rPr>
              <w:t>*</w:t>
            </w:r>
          </w:p>
        </w:tc>
        <w:tc>
          <w:tcPr>
            <w:tcW w:w="3040" w:type="dxa"/>
            <w:vAlign w:val="bottom"/>
            <w:gridSpan w:val="3"/>
          </w:tcPr>
          <w:p>
            <w:pPr>
              <w:ind w:left="220"/>
              <w:spacing w:after="0"/>
              <w:rPr>
                <w:sz w:val="20"/>
                <w:szCs w:val="20"/>
                <w:color w:val="auto"/>
              </w:rPr>
            </w:pPr>
            <w:r>
              <w:rPr>
                <w:rFonts w:ascii="Arial" w:cs="Arial" w:eastAsia="Arial" w:hAnsi="Arial"/>
                <w:sz w:val="17"/>
                <w:szCs w:val="17"/>
                <w:color w:val="auto"/>
              </w:rPr>
              <w:t>Less than one percent.</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jc w:val="right"/>
              <w:ind w:right="1815"/>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SEPARATION AND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2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including its portfolio of proprietary pharmaceuticals and biologics, from its diversified medical products businesses, including its devices, diagnostic, nutritional and branded generic pharmaceuticals businesses. Abbott announced that it intended to effect the separation through a pro rata distribution of the common stock of a new entity, which has since been named AbbVie and was formed to hold the assets and liabilities associated with the research-based pharmaceuticals business.</w:t>
      </w:r>
    </w:p>
    <w:p>
      <w:pPr>
        <w:spacing w:after="0" w:line="169"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On , 2012, the Abbott board of directors approved the distribution of the issued and outstanding shares of AbbVie common stock on the basis of share[s] of AbbVie's common stock for each Abbott common share held on the record date of .</w:t>
      </w:r>
    </w:p>
    <w:p>
      <w:pPr>
        <w:spacing w:after="0" w:line="170" w:lineRule="exact"/>
        <w:rPr>
          <w:sz w:val="20"/>
          <w:szCs w:val="20"/>
          <w:color w:val="auto"/>
        </w:rPr>
      </w:pPr>
    </w:p>
    <w:p>
      <w:pPr>
        <w:ind w:left="340"/>
        <w:spacing w:after="0"/>
        <w:tabs>
          <w:tab w:leader="none" w:pos="6040" w:val="left"/>
        </w:tabs>
        <w:rPr>
          <w:sz w:val="20"/>
          <w:szCs w:val="20"/>
          <w:color w:val="auto"/>
        </w:rPr>
      </w:pPr>
      <w:r>
        <w:rPr>
          <w:rFonts w:ascii="Arial" w:cs="Arial" w:eastAsia="Arial" w:hAnsi="Arial"/>
          <w:sz w:val="17"/>
          <w:szCs w:val="17"/>
          <w:color w:val="auto"/>
        </w:rPr>
        <w:t>On January 1, 2013, the distribution date, each Abbott shareholder will receive</w:t>
      </w:r>
      <w:r>
        <w:rPr>
          <w:sz w:val="20"/>
          <w:szCs w:val="20"/>
          <w:color w:val="auto"/>
        </w:rPr>
        <w:tab/>
      </w:r>
      <w:r>
        <w:rPr>
          <w:rFonts w:ascii="Arial" w:cs="Arial" w:eastAsia="Arial" w:hAnsi="Arial"/>
          <w:sz w:val="15"/>
          <w:szCs w:val="15"/>
          <w:color w:val="auto"/>
        </w:rPr>
        <w:t>share[s] of AbbVie's common stock for each Abbott common share held at the</w:t>
      </w:r>
    </w:p>
    <w:p>
      <w:pPr>
        <w:spacing w:after="0" w:line="2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close of business on the record date, as described below. Abbott shareholders will receive cash in lieu of any fractional shares of AbbVie common stock which they would have received after application of this ratio. You will not be required to make any payment, surrender or exchange your Abbott common shares or take any other action to receive your shares of AbbVie's common stock in the distribution. The distribution of AbbVie's common stock as described in this information statement is subject to the satisfaction or waiver of certain conditions. For a more detailed description of these conditions, see this section under "—Conditions to the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Separation</w:t>
      </w:r>
    </w:p>
    <w:p>
      <w:pPr>
        <w:spacing w:after="0" w:line="228" w:lineRule="exact"/>
        <w:rPr>
          <w:sz w:val="20"/>
          <w:szCs w:val="20"/>
          <w:color w:val="auto"/>
        </w:rPr>
      </w:pPr>
    </w:p>
    <w:p>
      <w:pPr>
        <w:ind w:right="160" w:firstLine="338"/>
        <w:spacing w:after="0" w:line="322" w:lineRule="auto"/>
        <w:rPr>
          <w:sz w:val="20"/>
          <w:szCs w:val="20"/>
          <w:color w:val="auto"/>
        </w:rPr>
      </w:pPr>
      <w:r>
        <w:rPr>
          <w:rFonts w:ascii="Arial" w:cs="Arial" w:eastAsia="Arial" w:hAnsi="Arial"/>
          <w:sz w:val="15"/>
          <w:szCs w:val="15"/>
          <w:color w:val="auto"/>
        </w:rPr>
        <w:t>The Abbott board of directors determined that the separation of Abbott's research-based pharmaceuticals business from its diversified medical products businesses would be in the best interests of Abbott and its shareholders and approved the plan of separation. A wide variety of factors were considered by the Abbott board of directors in evaluating the separation. Among other things, the Abbott board of directors considered the following potential benefits of the separation:</w:t>
      </w:r>
    </w:p>
    <w:p>
      <w:pPr>
        <w:spacing w:after="0" w:line="158" w:lineRule="exact"/>
        <w:rPr>
          <w:sz w:val="20"/>
          <w:szCs w:val="20"/>
          <w:color w:val="auto"/>
        </w:rPr>
      </w:pPr>
    </w:p>
    <w:p>
      <w:pPr>
        <w:ind w:left="1060" w:right="320" w:hanging="531"/>
        <w:spacing w:after="0" w:line="281" w:lineRule="auto"/>
        <w:tabs>
          <w:tab w:leader="none" w:pos="106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Distinct investment identity—</w:t>
      </w:r>
      <w:r>
        <w:rPr>
          <w:rFonts w:ascii="Arial" w:cs="Arial" w:eastAsia="Arial" w:hAnsi="Arial"/>
          <w:sz w:val="16"/>
          <w:szCs w:val="16"/>
          <w:color w:val="auto"/>
        </w:rPr>
        <w:t>The investment identities of Abbott and AbbVie have evolved independently over time. The separation will allow</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separately value Abbott and AbbVie based on their distinct investment identities. AbbVie's business differs from Abbott's diversified medical products businesses in several respects, such as product development cycles, R&amp;D capabilities, commercial call points and manufacturing processes. In addition, AbbVie's business has been a steady generator of cash flow but is expected to grow at a slower rate than Abbott's diversified medical products businesses. The separation will enable investors to evaluate the merits, performance and future prospects of each company's respective business and to invest in each company separately based on these distinct characteristics.</w:t>
      </w:r>
    </w:p>
    <w:p>
      <w:pPr>
        <w:spacing w:after="0" w:line="201" w:lineRule="exact"/>
        <w:rPr>
          <w:rFonts w:ascii="Arial" w:cs="Arial" w:eastAsia="Arial" w:hAnsi="Arial"/>
          <w:sz w:val="16"/>
          <w:szCs w:val="16"/>
          <w:color w:val="auto"/>
        </w:rPr>
      </w:pPr>
    </w:p>
    <w:p>
      <w:pPr>
        <w:ind w:left="1060" w:right="280" w:hanging="531"/>
        <w:spacing w:after="0" w:line="287" w:lineRule="auto"/>
        <w:tabs>
          <w:tab w:leader="none" w:pos="106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Enhanced strategic and management focus</w:t>
      </w:r>
      <w:r>
        <w:rPr>
          <w:rFonts w:ascii="Arial" w:cs="Arial" w:eastAsia="Arial" w:hAnsi="Arial"/>
          <w:sz w:val="16"/>
          <w:szCs w:val="16"/>
          <w:color w:val="auto"/>
        </w:rPr>
        <w:t>—The separation will allow each business to more effectively pursue its distinct operating priorities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and enable management of both companies to focus on unique opportunities for long-term growth and profitability. For example, whereas Abbott may seek to enhance focus on promoting different products in different emerging markets, AbbVie, as a research-based pharmaceuticals business, may seek to make investments in the research and development of new and innovative products.</w:t>
      </w:r>
    </w:p>
    <w:p>
      <w:pPr>
        <w:spacing w:after="0" w:line="181" w:lineRule="exact"/>
        <w:rPr>
          <w:rFonts w:ascii="Arial" w:cs="Arial" w:eastAsia="Arial" w:hAnsi="Arial"/>
          <w:sz w:val="16"/>
          <w:szCs w:val="16"/>
          <w:color w:val="auto"/>
        </w:rPr>
      </w:pPr>
    </w:p>
    <w:p>
      <w:pPr>
        <w:ind w:left="1060" w:right="500" w:hanging="531"/>
        <w:spacing w:after="0" w:line="352" w:lineRule="auto"/>
        <w:tabs>
          <w:tab w:leader="none" w:pos="1060" w:val="left"/>
        </w:tabs>
        <w:numPr>
          <w:ilvl w:val="0"/>
          <w:numId w:val="251"/>
        </w:numPr>
        <w:rPr>
          <w:rFonts w:ascii="Arial" w:cs="Arial" w:eastAsia="Arial" w:hAnsi="Arial"/>
          <w:sz w:val="15"/>
          <w:szCs w:val="15"/>
          <w:color w:val="auto"/>
        </w:rPr>
      </w:pPr>
      <w:r>
        <w:rPr>
          <w:rFonts w:ascii="Arial" w:cs="Arial" w:eastAsia="Arial" w:hAnsi="Arial"/>
          <w:sz w:val="15"/>
          <w:szCs w:val="15"/>
          <w:i w:val="1"/>
          <w:iCs w:val="1"/>
          <w:color w:val="auto"/>
        </w:rPr>
        <w:t>More efficient allocation of capital</w:t>
      </w:r>
      <w:r>
        <w:rPr>
          <w:rFonts w:ascii="Arial" w:cs="Arial" w:eastAsia="Arial" w:hAnsi="Arial"/>
          <w:sz w:val="15"/>
          <w:szCs w:val="15"/>
          <w:color w:val="auto"/>
        </w:rPr>
        <w:t>—The separation will permit each company to concentrate its financial resources solely on its own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having to compete with each other for investment capital. This will provide each company with greater flexibility to invest capital in 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businesses in a time and manner appropriate for its distinct strategy and business needs and facilitate a more efficient allocation of capital.</w:t>
      </w:r>
    </w:p>
    <w:p>
      <w:pPr>
        <w:spacing w:after="0" w:line="249" w:lineRule="exact"/>
        <w:rPr>
          <w:sz w:val="20"/>
          <w:szCs w:val="20"/>
          <w:color w:val="auto"/>
        </w:rPr>
      </w:pPr>
    </w:p>
    <w:p>
      <w:pPr>
        <w:ind w:left="1060" w:right="20" w:hanging="531"/>
        <w:spacing w:after="0" w:line="270" w:lineRule="auto"/>
        <w:tabs>
          <w:tab w:leader="none" w:pos="1060"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w:t>
      </w:r>
      <w:r>
        <w:rPr>
          <w:rFonts w:ascii="Arial" w:cs="Arial" w:eastAsia="Arial" w:hAnsi="Arial"/>
          <w:sz w:val="17"/>
          <w:szCs w:val="17"/>
          <w:color w:val="auto"/>
        </w:rPr>
        <w:t>The separation will create an independent equity structure that will afford AbbVie direct access to the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facilitate AbbVie's ability to effect future acquisitions utilizing AbbVie's common stock. As a result, each company will have more flexibility to capitalize on its unique growth opportunities.</w:t>
      </w:r>
    </w:p>
    <w:p>
      <w:pPr>
        <w:spacing w:after="0" w:line="179" w:lineRule="exact"/>
        <w:rPr>
          <w:sz w:val="20"/>
          <w:szCs w:val="20"/>
          <w:color w:val="auto"/>
        </w:rPr>
      </w:pPr>
    </w:p>
    <w:p>
      <w:pPr>
        <w:ind w:right="760" w:firstLine="341"/>
        <w:spacing w:after="0" w:line="282" w:lineRule="auto"/>
        <w:rPr>
          <w:sz w:val="20"/>
          <w:szCs w:val="20"/>
          <w:color w:val="auto"/>
        </w:rPr>
      </w:pPr>
      <w:r>
        <w:rPr>
          <w:rFonts w:ascii="Arial" w:cs="Arial" w:eastAsia="Arial" w:hAnsi="Arial"/>
          <w:sz w:val="17"/>
          <w:szCs w:val="17"/>
          <w:color w:val="auto"/>
        </w:rPr>
        <w:t>Neither AbbVie nor Abbott can assure you that, following the separation, any of the benefits described above or otherwise will be realized to the extent anticipated or at all.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also considered a number of potentially negative factors in evaluating the separation, including the following:</w:t>
      </w:r>
    </w:p>
    <w:p>
      <w:pPr>
        <w:spacing w:after="0" w:line="250" w:lineRule="exact"/>
        <w:rPr>
          <w:sz w:val="20"/>
          <w:szCs w:val="20"/>
          <w:color w:val="auto"/>
        </w:rPr>
      </w:pPr>
    </w:p>
    <w:p>
      <w:pPr>
        <w:ind w:left="1060" w:hanging="531"/>
        <w:spacing w:after="0" w:line="306" w:lineRule="auto"/>
        <w:tabs>
          <w:tab w:leader="none" w:pos="1060" w:val="left"/>
        </w:tabs>
        <w:numPr>
          <w:ilvl w:val="0"/>
          <w:numId w:val="253"/>
        </w:numPr>
        <w:rPr>
          <w:rFonts w:ascii="Arial" w:cs="Arial" w:eastAsia="Arial" w:hAnsi="Arial"/>
          <w:sz w:val="15"/>
          <w:szCs w:val="15"/>
          <w:color w:val="auto"/>
        </w:rPr>
      </w:pPr>
      <w:r>
        <w:rPr>
          <w:rFonts w:ascii="Arial" w:cs="Arial" w:eastAsia="Arial" w:hAnsi="Arial"/>
          <w:sz w:val="15"/>
          <w:szCs w:val="15"/>
          <w:i w:val="1"/>
          <w:iCs w:val="1"/>
          <w:color w:val="auto"/>
        </w:rPr>
        <w:t xml:space="preserve">Loss of synergies and joint purchasing power and increased costs. </w:t>
      </w:r>
      <w:r>
        <w:rPr>
          <w:rFonts w:ascii="Arial" w:cs="Arial" w:eastAsia="Arial" w:hAnsi="Arial"/>
          <w:sz w:val="15"/>
          <w:szCs w:val="15"/>
          <w:color w:val="auto"/>
        </w:rPr>
        <w:t>As a current part of Abbott, AbbVie takes advantage of Abbott's size and purchasing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in procuring certain goods and services. After the separation, as a separate, independent entity, AbbVie may be unable to obtain these goods, services, and technologies at prices or on terms as favorable as those Abbott obtained prior to the separation. AbbVie may also incur costs for certain functions previously performed by Abbott, such as accounting, tax, legal, human resources, and other general and administrative functions, that are higher than the amounts reflected in AbbVie's historical financial statements, which could cause AbbVie's profitability to decrease.</w:t>
      </w:r>
    </w:p>
    <w:p>
      <w:pPr>
        <w:spacing w:after="0" w:line="172" w:lineRule="exact"/>
        <w:rPr>
          <w:rFonts w:ascii="Arial" w:cs="Arial" w:eastAsia="Arial" w:hAnsi="Arial"/>
          <w:sz w:val="15"/>
          <w:szCs w:val="15"/>
          <w:color w:val="auto"/>
        </w:rPr>
      </w:pPr>
    </w:p>
    <w:p>
      <w:pPr>
        <w:ind w:left="1060" w:right="260" w:hanging="531"/>
        <w:spacing w:after="0" w:line="282" w:lineRule="auto"/>
        <w:tabs>
          <w:tab w:leader="none" w:pos="1060"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Disruptions to the business as a result of the separation. </w:t>
      </w:r>
      <w:r>
        <w:rPr>
          <w:rFonts w:ascii="Arial" w:cs="Arial" w:eastAsia="Arial" w:hAnsi="Arial"/>
          <w:sz w:val="17"/>
          <w:szCs w:val="17"/>
          <w:color w:val="auto"/>
        </w:rPr>
        <w:t>The actions required to separate Abbott's and AbbVie's respective businesses could disrupt</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operations.</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Increased significance of certain costs and liabilities. </w:t>
      </w:r>
      <w:r>
        <w:rPr>
          <w:rFonts w:ascii="Arial" w:cs="Arial" w:eastAsia="Arial" w:hAnsi="Arial"/>
          <w:sz w:val="17"/>
          <w:szCs w:val="17"/>
          <w:color w:val="auto"/>
        </w:rPr>
        <w:t>Certain costs and liabilities that were otherwise less significant to Abbott as a whole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significant for AbbVie as a stand-alone company.</w:t>
      </w:r>
    </w:p>
    <w:p>
      <w:pPr>
        <w:spacing w:after="0" w:line="196" w:lineRule="exact"/>
        <w:rPr>
          <w:rFonts w:ascii="Arial" w:cs="Arial" w:eastAsia="Arial" w:hAnsi="Arial"/>
          <w:sz w:val="17"/>
          <w:szCs w:val="17"/>
          <w:color w:val="auto"/>
        </w:rPr>
      </w:pPr>
    </w:p>
    <w:p>
      <w:pPr>
        <w:jc w:val="both"/>
        <w:ind w:left="1060" w:right="280" w:hanging="531"/>
        <w:spacing w:after="0" w:line="322" w:lineRule="auto"/>
        <w:tabs>
          <w:tab w:leader="none" w:pos="1060" w:val="left"/>
        </w:tabs>
        <w:numPr>
          <w:ilvl w:val="0"/>
          <w:numId w:val="253"/>
        </w:numPr>
        <w:rPr>
          <w:rFonts w:ascii="Arial" w:cs="Arial" w:eastAsia="Arial" w:hAnsi="Arial"/>
          <w:sz w:val="15"/>
          <w:szCs w:val="15"/>
          <w:color w:val="auto"/>
        </w:rPr>
      </w:pPr>
      <w:r>
        <w:rPr>
          <w:rFonts w:ascii="Arial" w:cs="Arial" w:eastAsia="Arial" w:hAnsi="Arial"/>
          <w:sz w:val="15"/>
          <w:szCs w:val="15"/>
          <w:i w:val="1"/>
          <w:iCs w:val="1"/>
          <w:color w:val="auto"/>
        </w:rPr>
        <w:t xml:space="preserve">One-time costs of the separation. </w:t>
      </w:r>
      <w:r>
        <w:rPr>
          <w:rFonts w:ascii="Arial" w:cs="Arial" w:eastAsia="Arial" w:hAnsi="Arial"/>
          <w:sz w:val="15"/>
          <w:szCs w:val="15"/>
          <w:color w:val="auto"/>
        </w:rPr>
        <w:t>AbbVie will incur costs in connection with the transition to being a stand-alone public company that may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tax, legal, and other professional services costs, recruiting and relocation costs associated with hiring key senior management personnel new to AbbVie, costs related to establishing a new brand identity in the marketplace, and costs to separate information systems.</w:t>
      </w:r>
    </w:p>
    <w:p>
      <w:pPr>
        <w:spacing w:after="0" w:line="157" w:lineRule="exact"/>
        <w:rPr>
          <w:rFonts w:ascii="Arial" w:cs="Arial" w:eastAsia="Arial" w:hAnsi="Arial"/>
          <w:sz w:val="15"/>
          <w:szCs w:val="15"/>
          <w:color w:val="auto"/>
        </w:rPr>
      </w:pPr>
    </w:p>
    <w:p>
      <w:pPr>
        <w:ind w:left="1060" w:right="40" w:hanging="531"/>
        <w:spacing w:after="0" w:line="263" w:lineRule="auto"/>
        <w:tabs>
          <w:tab w:leader="none" w:pos="1060"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realize anticipated benefits of the separation. </w:t>
      </w:r>
      <w:r>
        <w:rPr>
          <w:rFonts w:ascii="Arial" w:cs="Arial" w:eastAsia="Arial" w:hAnsi="Arial"/>
          <w:sz w:val="17"/>
          <w:szCs w:val="17"/>
          <w:color w:val="auto"/>
        </w:rPr>
        <w:t>AbbVie may not achieve the anticipated benefits of the separation for a variety of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and (c) following the separation, AbbVie's business will be less diversified than Abbott's business prior to the separation.</w:t>
      </w:r>
    </w:p>
    <w:p>
      <w:pPr>
        <w:spacing w:after="0" w:line="200" w:lineRule="exact"/>
        <w:rPr>
          <w:rFonts w:ascii="Arial" w:cs="Arial" w:eastAsia="Arial" w:hAnsi="Arial"/>
          <w:sz w:val="17"/>
          <w:szCs w:val="17"/>
          <w:color w:val="auto"/>
        </w:rPr>
      </w:pPr>
    </w:p>
    <w:p>
      <w:pPr>
        <w:ind w:left="1060" w:right="20" w:hanging="531"/>
        <w:spacing w:after="0" w:line="287" w:lineRule="auto"/>
        <w:tabs>
          <w:tab w:leader="none" w:pos="1060"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 xml:space="preserve">Limitations placed upon AbbVie as a result of the tax sharing agreement. </w:t>
      </w:r>
      <w:r>
        <w:rPr>
          <w:rFonts w:ascii="Arial" w:cs="Arial" w:eastAsia="Arial" w:hAnsi="Arial"/>
          <w:sz w:val="16"/>
          <w:szCs w:val="16"/>
          <w:color w:val="auto"/>
        </w:rPr>
        <w:t>To preserve the tax-free treatment to Abbott of the separation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under the tax sharing agreement that AbbVie will enter into with Abbott, AbbVie will be restricted from taking any action that prevents the distribution and related transactions from being tax-free for U.S. federal income tax purposes. These restrictions may limit AbbVie's ability to pursue certain strategic transactions or engage in other transactions that might increase the value of its business.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concluded that the potential benefits of the separation outweighed these factors.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a New Company Prior to AbbVie's Distribution</w:t>
      </w:r>
    </w:p>
    <w:p>
      <w:pPr>
        <w:spacing w:after="0" w:line="228" w:lineRule="exact"/>
        <w:rPr>
          <w:sz w:val="20"/>
          <w:szCs w:val="20"/>
          <w:color w:val="auto"/>
        </w:rPr>
      </w:pPr>
    </w:p>
    <w:p>
      <w:pPr>
        <w:jc w:val="both"/>
        <w:ind w:right="40" w:firstLine="332"/>
        <w:spacing w:after="0" w:line="322" w:lineRule="auto"/>
        <w:rPr>
          <w:sz w:val="20"/>
          <w:szCs w:val="20"/>
          <w:color w:val="auto"/>
        </w:rPr>
      </w:pPr>
      <w:r>
        <w:rPr>
          <w:rFonts w:ascii="Arial" w:cs="Arial" w:eastAsia="Arial" w:hAnsi="Arial"/>
          <w:sz w:val="15"/>
          <w:szCs w:val="15"/>
          <w:color w:val="auto"/>
        </w:rPr>
        <w:t>AbbVie was formed in Delaware on April 10, 2012, for the purpose of holding Abbott's research-based pharmaceuticals business. As part of the plan to separate the research-based pharmaceuticals business of Abbott from the remainder of its businesses, Abbott plans to transfer the equity interests of certain entities that operate the research-based pharmaceuticals business and other assets and liabilities of the research-based pharmaceuticals business to AbbVie prior to the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You Will Receive the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 the assistance of Computershare Trust Company, N.A., AbbVie expects to distribute AbbVie common stock on January 1, 2013, the distribution date, to all</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holders of outstanding Abbott common shares on , the record date. Computershare Trust Company, N.A., which currently serves as the transfer agent and registrar for Abbott's common shares, will serve as the settlement and distribution agent in connection with the distribution and the transfer agent and registrar for AbbVie common stock.</w:t>
      </w:r>
    </w:p>
    <w:p>
      <w:pPr>
        <w:spacing w:after="0" w:line="183"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If you own Abbott common shares as of the close of business on the record date, AbbVie's common stock that you are entitled to receive in the distribution will be issued electronically, as of the distribution date, to you or to your bank or brokerage firm on your behalf in direct registration form. If you are a registered holder, Computershare Trust Company, N.A. will then mail you a direct registration account statement that reflects your shares of AbbVie common stock. If you hold your shares through a bank or brokerage firm, your bank or brokerage firm will credit your account for the shares. Direct registration form refers to a method of recording share ownership when no physical share certificates are issued to shareholders, as is the case in this distribution. Following the distribution, however, you may request the delivery of physical stock certificates for your AbbVie shares. If you sell Abbott common shares in the "regular-way" market up to and including the distribution date, you will be selling your right to receive shares of AbbVie common stock in the distribution.</w:t>
      </w:r>
    </w:p>
    <w:p>
      <w:pPr>
        <w:spacing w:after="0" w:line="175"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Commencing on or shortly after the distribution date, if you hold physical share certificates that represent your Abbott common shares and you are the registered holder of the shares represented by those certificates, the distribution agent will mail to you an account statement that indicates the number of shares of AbbVie's common stock that have been registered in book-entry form in your name.</w:t>
      </w:r>
    </w:p>
    <w:p>
      <w:pPr>
        <w:spacing w:after="0" w:line="17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Most Abbott shareholders hold their common shares through a bank or brokerage firm. In such cases, the bank or brokerage firm would be said to hold the shares in "street name" and ownership would be recorded on the bank or brokerage firm's books. If you hold your Abbott common shares through a bank or brokerage firm, your bank or brokerage firm will credit your account for the AbbVie common stock that you are entitled to receive in the distribution. If you have any questions concerning the mechanics of having shares held in "street name," please contact your bank or brokerage firm.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Following the distribution, you may request that physical stock certificates be sent to you, at any time and without charge, by contacting Computershare Trust</w:t>
      </w:r>
    </w:p>
    <w:p>
      <w:pPr>
        <w:spacing w:after="0" w:line="43" w:lineRule="exact"/>
        <w:rPr>
          <w:sz w:val="20"/>
          <w:szCs w:val="20"/>
          <w:color w:val="auto"/>
        </w:rPr>
      </w:pPr>
    </w:p>
    <w:p>
      <w:pPr>
        <w:spacing w:after="0"/>
        <w:tabs>
          <w:tab w:leader="none" w:pos="2740" w:val="left"/>
          <w:tab w:leader="none" w:pos="5020" w:val="left"/>
          <w:tab w:leader="none" w:pos="8480" w:val="left"/>
          <w:tab w:leader="none" w:pos="9340" w:val="left"/>
        </w:tabs>
        <w:rPr>
          <w:sz w:val="20"/>
          <w:szCs w:val="20"/>
          <w:color w:val="auto"/>
        </w:rPr>
      </w:pPr>
      <w:r>
        <w:rPr>
          <w:rFonts w:ascii="Arial" w:cs="Arial" w:eastAsia="Arial" w:hAnsi="Arial"/>
          <w:sz w:val="17"/>
          <w:szCs w:val="17"/>
          <w:color w:val="auto"/>
        </w:rPr>
        <w:t>Company, N.A. by telephone at</w:t>
      </w:r>
      <w:r>
        <w:rPr>
          <w:sz w:val="20"/>
          <w:szCs w:val="20"/>
          <w:color w:val="auto"/>
        </w:rPr>
        <w:tab/>
      </w:r>
      <w:r>
        <w:rPr>
          <w:rFonts w:ascii="Arial" w:cs="Arial" w:eastAsia="Arial" w:hAnsi="Arial"/>
          <w:sz w:val="17"/>
          <w:szCs w:val="17"/>
          <w:color w:val="auto"/>
        </w:rPr>
        <w:t>, on the Internet at www.</w:t>
      </w:r>
      <w:r>
        <w:rPr>
          <w:sz w:val="20"/>
          <w:szCs w:val="20"/>
          <w:color w:val="auto"/>
        </w:rPr>
        <w:tab/>
      </w:r>
      <w:r>
        <w:rPr>
          <w:rFonts w:ascii="Arial" w:cs="Arial" w:eastAsia="Arial" w:hAnsi="Arial"/>
          <w:sz w:val="17"/>
          <w:szCs w:val="17"/>
          <w:color w:val="auto"/>
        </w:rPr>
        <w:t>.com or by sending a written request to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Transferability of Shares You Receive</w:t>
      </w:r>
    </w:p>
    <w:p>
      <w:pPr>
        <w:spacing w:after="0" w:line="228"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Shares of AbbVie common stock distributed to holders in connection with the distribution will be transferable without registration under the U.S. Securities Act of 1933, as amended, or the Securities Act, except for shares received by persons who may be deemed to be AbbVie affiliates. Persons who may be deemed to be AbbVie affiliates after the distribution generally include individuals or entities that control, are controlled by or are under common control with AbbVie, which may include certain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AbbVie executive officers, directors or principal stockholders. Securities held by AbbVie affiliates will be subject to resale restrictions under the Securities Act. AbbVie affiliates will be permitted to sell shares of AbbVie common stock only pursuant to an effective registration statement or an exemption from the registration requirements of the Securities Act, such as the exemption afforded by Rule 144 under the Securities Act.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Number of Shares of AbbVie Common Stock You Will Receive</w:t>
      </w:r>
    </w:p>
    <w:p>
      <w:pPr>
        <w:spacing w:after="0" w:line="228" w:lineRule="exact"/>
        <w:rPr>
          <w:sz w:val="20"/>
          <w:szCs w:val="20"/>
          <w:color w:val="auto"/>
        </w:rPr>
      </w:pPr>
    </w:p>
    <w:p>
      <w:pPr>
        <w:ind w:left="340"/>
        <w:spacing w:after="0"/>
        <w:tabs>
          <w:tab w:leader="none" w:pos="5840" w:val="left"/>
          <w:tab w:leader="none" w:pos="8920" w:val="left"/>
        </w:tabs>
        <w:rPr>
          <w:sz w:val="20"/>
          <w:szCs w:val="20"/>
          <w:color w:val="auto"/>
        </w:rPr>
      </w:pPr>
      <w:r>
        <w:rPr>
          <w:rFonts w:ascii="Arial" w:cs="Arial" w:eastAsia="Arial" w:hAnsi="Arial"/>
          <w:sz w:val="17"/>
          <w:szCs w:val="17"/>
          <w:color w:val="auto"/>
        </w:rPr>
        <w:t>For each Abbott common share that you own at the close of business on</w:t>
      </w:r>
      <w:r>
        <w:rPr>
          <w:sz w:val="20"/>
          <w:szCs w:val="20"/>
          <w:color w:val="auto"/>
        </w:rPr>
        <w:tab/>
      </w:r>
      <w:r>
        <w:rPr>
          <w:rFonts w:ascii="Arial" w:cs="Arial" w:eastAsia="Arial" w:hAnsi="Arial"/>
          <w:sz w:val="17"/>
          <w:szCs w:val="17"/>
          <w:color w:val="auto"/>
        </w:rPr>
        <w:t>, 2012, the record date, you will receive</w:t>
      </w:r>
      <w:r>
        <w:rPr>
          <w:sz w:val="20"/>
          <w:szCs w:val="20"/>
          <w:color w:val="auto"/>
        </w:rPr>
        <w:tab/>
      </w:r>
      <w:r>
        <w:rPr>
          <w:rFonts w:ascii="Arial" w:cs="Arial" w:eastAsia="Arial" w:hAnsi="Arial"/>
          <w:sz w:val="15"/>
          <w:szCs w:val="15"/>
          <w:color w:val="auto"/>
        </w:rPr>
        <w:t>share[s] of AbbVie common stock</w:t>
      </w:r>
    </w:p>
    <w:p>
      <w:pPr>
        <w:spacing w:after="0" w:line="20"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on the distribution date. Abbott will not distribute any fractional shares of AbbVie common stock to its shareholders. Instead, if you are a registered holder, Computershare Trust Company, N.A. will 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transfer agent, in its sole discretion, without any influence by Abbott or AbbVie, will determine when, how, through which broker-dealer and at what price to sell the whole shares. Any broker-dealer used by the transfer agent will not be an affiliate of either Abbott or AbbVie. Neither AbbVie nor Abbott will be able to guarantee any minimum sale price in connection with the sale of these shares. Recipients of cash in lieu of fractional shares will not be entitled to any interest on the amounts of payment made in lieu of fractional shares.</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aggregate net cash proceeds of these sales will be taxable for U.S. federal income tax purposes. See "Material U.S. Federal Income Tax Consequences" for an explanation of the material U.S. federal income tax consequences of the distribution. If you hold physical certificates for Abbott common shares and are the registered holder, you will receive a check from the distribution agent in an amount equal to your pro rata share of the aggregate net cash proceeds of the sales. AbbVie estimates that it will take approximately two weeks from the distribution date for the distribution agent to complete the distributions of the aggregate net cash proceeds. If you hold your Abbott common shares through a bank or brokerage firm, your bank or brokerage firm will receive, on your behalf, your pro rata share of the aggregate net cash proceeds of the sales and will electronically credit your account for your share of such proceeds.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its separation from Abbott, AbbVie will be an independent, publicly traded company. The actual number of shares to be distributed will be determined</w:t>
      </w:r>
    </w:p>
    <w:p>
      <w:pPr>
        <w:spacing w:after="0" w:line="32"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on , 2012, the record date for the distribution, and will reflect any exercise of Abbott options between the date the Abbott board of directors declares the distribution and the record date for the distribution. The distribution will not affect the number of outstanding Abbott common shares or any rights of Abbott's shareholders. Abbott will not distribute any fractional shares of AbbVie common stock.</w:t>
      </w:r>
    </w:p>
    <w:p>
      <w:pPr>
        <w:spacing w:after="0" w:line="183"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Before the distribution, AbbVie will enter into a separation agreement and other agreements with Abbott to effect the separation and provide a framework for AbbVie's relationship with Abbott after the separation. These agreements will provide for the allocation between Abbott and AbbVie of Abbott's assets, liabilities and obligations (including employee benefits, intellectual property, and tax-related assets and liabilities) attributable to periods prior to AbbVie's separation from Abbott and will govern the relationship between Abbott and AbbVie after the separation. For a more detailed description of these agreements, see "Certain Relationships and Related Person Transactions."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AbbVie Common Stock</w:t>
      </w:r>
    </w:p>
    <w:p>
      <w:pPr>
        <w:spacing w:after="0" w:line="228"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There is currently no public trading market for AbbVie's common stock. AbbVie intends to apply to list its common stock on the NYSE under the symbol "ABBV." AbbVie has not and will not set the initial price of its common stock. The initial price will be established by the public markets. AbbVie also intends to list its common stock on the Chicago Stock Exchange, the London Stock Exchange, and the SIX Swiss Exchange.</w:t>
      </w:r>
    </w:p>
    <w:p>
      <w:pPr>
        <w:spacing w:after="0" w:line="179"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cannot predict the price at which its common stock will trade after the distribution. In fact, the combined trading prices, after the separation, of the shares of AbbVie common stock that each Abbott shareholder will receive in the distribution and the Abbott common shares held at the record date may not equal the "regular-way" trading price of an Abbott share immediately prior to the separation. The price at which AbbVie common stock trades may fluctuate significantly, particularly until an orderly public market develops. Trading prices for AbbVie common stock will be determined in the public markets and may be influenced by many factors. See "Risk Factors—Risks Related to AbbVie's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Between the Record Date and Distribution Date</w:t>
      </w:r>
    </w:p>
    <w:p>
      <w:pPr>
        <w:spacing w:after="0" w:line="228" w:lineRule="exact"/>
        <w:rPr>
          <w:sz w:val="20"/>
          <w:szCs w:val="20"/>
          <w:color w:val="auto"/>
        </w:rPr>
      </w:pPr>
    </w:p>
    <w:p>
      <w:pPr>
        <w:ind w:right="100" w:firstLine="341"/>
        <w:spacing w:after="0" w:line="301" w:lineRule="auto"/>
        <w:rPr>
          <w:sz w:val="20"/>
          <w:szCs w:val="20"/>
          <w:color w:val="auto"/>
        </w:rPr>
      </w:pPr>
      <w:r>
        <w:rPr>
          <w:rFonts w:ascii="Arial" w:cs="Arial" w:eastAsia="Arial" w:hAnsi="Arial"/>
          <w:sz w:val="15"/>
          <w:szCs w:val="15"/>
          <w:color w:val="auto"/>
        </w:rPr>
        <w:t>Beginning on or shortly before the record date and continuing up to and including through the distribution date, Abbott expects that there will be two markets in Abbott common shares: a "regular-way" market and an "ex-distribution" market. Abbott common shares that trade on the "regular-way" market will trade with an entitlement to AbbVie common shares distributed pursuant to the separation. Abbott common shares that trade on the "ex-distribution" market will trade without an entitlement to AbbVie common stock distributed pursuant to the distribution. Therefore, if you sell Abbott common shares in the "regular-way" market up to and including through the distribution date, you will be selling your right to receive AbbVie common stock in the distribution. If you own Abbott common shares at the close of business on the record date and sell those shares on the "ex-distribution" market up to and including through the distribution date, you will receive the shares of AbbVie common stock that you are entitled to receive pursuant to your ownership as of the record date of the Abbott common shares.</w:t>
      </w:r>
    </w:p>
    <w:p>
      <w:pPr>
        <w:spacing w:after="0" w:line="16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Furthermore, beginning on or shortly before the record date and continuing up to and including the distribution date, AbbVie expects that there will be a "when-issued" market in its common stock. "When-issued" trading refers to a sale or purchase made conditionally because the security has been authorized but not yet issued. The "when-issued" trading market will be a market for AbbVie common stock that will be distributed to holders of Abbott common shares on the distribution date. If you owned Abbott common shares at the close of business on the record date, you would be entitled to AbbVie common stock distributed pursuant to the distribution. You may trade this entitlement to shares of AbbVie common stock, without the Abbott common shares you own, on the "when-issued" market. On the first trading day following the distribution date, "when-issued" trading with respect to AbbVie common stock will end, and "regular-way" trading will begin.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Distribution</w:t>
      </w:r>
    </w:p>
    <w:p>
      <w:pPr>
        <w:spacing w:after="0" w:line="228"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has announced that the distribution will be effective at 12:01 a.m. Eastern time, on January 1, 2013, which is the distribution date, provided that the following conditions shall have been satisfied (or waived by Abbott in its sole discretion):</w:t>
      </w:r>
    </w:p>
    <w:p>
      <w:pPr>
        <w:spacing w:after="0" w:line="183" w:lineRule="exact"/>
        <w:rPr>
          <w:sz w:val="20"/>
          <w:szCs w:val="20"/>
          <w:color w:val="auto"/>
        </w:rPr>
      </w:pPr>
    </w:p>
    <w:p>
      <w:pPr>
        <w:ind w:left="1060" w:hanging="531"/>
        <w:spacing w:after="0" w:line="270" w:lineRule="auto"/>
        <w:tabs>
          <w:tab w:leader="none" w:pos="10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making of the cash distribution (as described in "Certain Relationships and Related Person Transactions—The Separation Agreement—The Cash Distribution") from AbbVie to Abbott prior to the distribution and the determination by Abbott in its sole discretion that following the separation it will have no further liability or obligation whatsoever under the credit facility 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any of the other financing arrangements that AbbVie will be entering into in connection with the separation;</w:t>
      </w:r>
    </w:p>
    <w:p>
      <w:pPr>
        <w:spacing w:after="0" w:line="237" w:lineRule="exact"/>
        <w:rPr>
          <w:sz w:val="20"/>
          <w:szCs w:val="20"/>
          <w:color w:val="auto"/>
        </w:rPr>
      </w:pPr>
    </w:p>
    <w:p>
      <w:pPr>
        <w:ind w:left="1060" w:right="560" w:hanging="531"/>
        <w:spacing w:after="0" w:line="282" w:lineRule="auto"/>
        <w:tabs>
          <w:tab w:leader="none" w:pos="10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transfer of assets and liabilities to AbbVie in accordance with the separation agreement has been completed, other than assets and liabilities intended to transfer after the distribution;</w:t>
      </w:r>
    </w:p>
    <w:p>
      <w:pPr>
        <w:spacing w:after="0" w:line="196" w:lineRule="exact"/>
        <w:rPr>
          <w:rFonts w:ascii="Arial" w:cs="Arial" w:eastAsia="Arial" w:hAnsi="Arial"/>
          <w:sz w:val="17"/>
          <w:szCs w:val="17"/>
          <w:color w:val="auto"/>
        </w:rPr>
      </w:pPr>
    </w:p>
    <w:p>
      <w:pPr>
        <w:ind w:left="1060" w:hanging="531"/>
        <w:spacing w:after="0" w:line="306" w:lineRule="auto"/>
        <w:tabs>
          <w:tab w:leader="none" w:pos="106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the receipt of a private letter ruling from the IRS to the effect that, among other things, the distribution will qualify as a transaction that is tax-free for U.S. federal income tax purposes under Sections 355 and 368(a)(1)(D) of the Code and certain transactions related to the transfer of assets and liabilities to AbbVie in connection with the separation will not result in the recognition of any gain or loss to Abbott, AbbVie or their shareholders, and such private letter ruling shall not have been revoked or modified in any material respect, and the receipt of an opinion from Abbott's outside tax counsel to the effect that the separation and distribution will qualify as a transaction that is described in Sections 355(a) and 368(a)(1)(D) of the Code;</w:t>
      </w:r>
    </w:p>
    <w:p>
      <w:pPr>
        <w:sectPr>
          <w:pgSz w:w="11900" w:h="16838" w:orient="portrait"/>
          <w:cols w:equalWidth="0" w:num="1">
            <w:col w:w="11360"/>
          </w:cols>
          <w:pgMar w:left="240" w:top="131" w:right="299" w:bottom="1440" w:gutter="0" w:footer="0" w:header="0"/>
        </w:sectPr>
      </w:pP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700"/>
        <w:spacing w:after="0" w:line="315" w:lineRule="auto"/>
        <w:rPr>
          <w:sz w:val="20"/>
          <w:szCs w:val="20"/>
          <w:color w:val="auto"/>
        </w:rPr>
      </w:pPr>
      <w:r>
        <w:rPr>
          <w:rFonts w:ascii="Arial" w:cs="Arial" w:eastAsia="Arial" w:hAnsi="Arial"/>
          <w:sz w:val="16"/>
          <w:szCs w:val="16"/>
          <w:color w:val="auto"/>
        </w:rPr>
        <w:t>the receipt of an opinion from or another independent appraisal firm confirming the solvency and financial viability of Abbott before the distribution and each of Abbott and AbbVie after the distribution that is in form and substance acceptable to Abbott in its sole discretion;</w:t>
      </w:r>
    </w:p>
    <w:p>
      <w:pPr>
        <w:spacing w:after="0" w:line="159" w:lineRule="exact"/>
        <w:rPr>
          <w:sz w:val="20"/>
          <w:szCs w:val="20"/>
          <w:color w:val="auto"/>
        </w:rPr>
      </w:pPr>
    </w:p>
    <w:p>
      <w:pPr>
        <w:sectPr>
          <w:pgSz w:w="11900" w:h="16838" w:orient="portrait"/>
          <w:cols w:equalWidth="0" w:num="2">
            <w:col w:w="580" w:space="480"/>
            <w:col w:w="10300"/>
          </w:cols>
          <w:pgMar w:left="240" w:top="131" w:right="299" w:bottom="1440" w:gutter="0" w:footer="0" w:header="0"/>
          <w:type w:val="continuous"/>
        </w:sectPr>
      </w:pPr>
    </w:p>
    <w:p>
      <w:pPr>
        <w:ind w:left="1060" w:right="400" w:hanging="531"/>
        <w:spacing w:after="0" w:line="282" w:lineRule="auto"/>
        <w:tabs>
          <w:tab w:leader="none" w:pos="10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SEC declaring effective AbbVie's registration statement on Form 10, of which this information statement forms a part, and the mailing of this information statement to Abbott shareholders;</w:t>
      </w:r>
    </w:p>
    <w:p>
      <w:pPr>
        <w:spacing w:after="0" w:line="196" w:lineRule="exact"/>
        <w:rPr>
          <w:rFonts w:ascii="Arial" w:cs="Arial" w:eastAsia="Arial" w:hAnsi="Arial"/>
          <w:sz w:val="17"/>
          <w:szCs w:val="17"/>
          <w:color w:val="auto"/>
        </w:rPr>
      </w:pPr>
    </w:p>
    <w:p>
      <w:pPr>
        <w:ind w:left="1060" w:right="440" w:hanging="531"/>
        <w:spacing w:after="0" w:line="282" w:lineRule="auto"/>
        <w:tabs>
          <w:tab w:leader="none" w:pos="10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U.S. federal, U.S. state or other securities laws shall have been taken and, where applicable, have become effective or been accepted by the applicable governmental authority;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shall have been duly executed and delivered by the parties;</w:t>
      </w:r>
    </w:p>
    <w:p>
      <w:pPr>
        <w:spacing w:after="0" w:line="237"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shares of AbbVie common stock to be distributed shall have been accepted for listing on the NYSE subject to official notice of distribution; and</w:t>
      </w:r>
    </w:p>
    <w:p>
      <w:pPr>
        <w:spacing w:after="0" w:line="260" w:lineRule="exact"/>
        <w:rPr>
          <w:rFonts w:ascii="Arial" w:cs="Arial" w:eastAsia="Arial" w:hAnsi="Arial"/>
          <w:sz w:val="15"/>
          <w:szCs w:val="15"/>
          <w:color w:val="auto"/>
        </w:rPr>
      </w:pPr>
    </w:p>
    <w:p>
      <w:pPr>
        <w:ind w:left="1060" w:right="80" w:hanging="531"/>
        <w:spacing w:after="0" w:line="282" w:lineRule="auto"/>
        <w:tabs>
          <w:tab w:leader="none" w:pos="10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Abbott's board of directors, in its sole discretion, makes it inadvisable to effect the separation, the distribution and other related transactions.</w:t>
      </w:r>
    </w:p>
    <w:p>
      <w:pPr>
        <w:spacing w:after="0" w:line="170"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Abbott will have the sole and absolute discretion to determine (and change) the terms of, and whether to proceed with, the distribution and, to the extent it determines to so proceed, to determine the record date and the distribution date and the distribution ratio. Abbott does not intend to notify its shareholders of any modifications to the terms of the separation that, in the judgment of its board of directors, are not material. For example, the Abbott board of directors might consider material such matters as significant changes to the distribution ratio, the assets to be contributed or the liabilities to be assumed in the separation. To the extent that the Abbott board of directors determines that any modifications by Abbott materially change the material terms of the distribution, Abbott will notify Abbott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26" w:name="page227"/>
    <w:bookmarkEnd w:id="22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The following is a summary of material U.S. federal income tax consequences of the contribution by Abbott of assets of the research-based pharmaceuticals business to AbbVie and the distribution by Abbott of all of AbbVie's outstanding common stock to its shareholders. This summary is based on the Internal Revenue Code of 1986, as amended (the Code), U.S. Treasury regulations promulgated thereunder and on judicial and administrative interpretations of the Code and the U.S. Treasury regulations, all as in effect on the date of this information statement, and is subject to changes in these or other governing authorities, any of which may have a retroactive effect. This summary assumes that the separation and the distribution will be consummated in accordance with the separation agreement and as described in this information statement. This summary does not purport to be a complete description of all U.S. federal income tax consequences of the separation and the distribution nor does it address the effects of any state, local or foreign tax laws or U.S. federal tax laws other than those relating to income taxes on the separation and the distribution. The tax treatment of an Abbott shareholder may vary depending upon that shareholder's particular situation, and certain shareholders (including, but not limited to, insurance companies, tax-exempt organizations, financial institutions, broker-dealers, partners in partnerships that hold common shares in Abbott, pass-through entities, traders in securities who elect to apply a mark-to-market method of accounting, shareholders who hold their Abbott common shares as part of a "hedge," "straddle," "conversion," "synthetic security," "integrated investment" or "constructive sale transaction," individuals who received Abbott common shares upon the exercise of employee stock options or otherwise as compensation, and shareholders who are subject to alternative minimum tax) may be subject to special rules not discussed below. In addition, this summary addresses the U.S. federal income tax consequences to an Abbott shareholder who, for U.S. federal income tax purposes, is a U.S. person and not to an Abbott shareholder who is a non-resident alien individual, a foreign corporation, a foreign partnership, or a foreign trust or estate. Finally, this summary does not address the U.S. federal income tax consequences to those Abbott shareholders who do not hold their Abbott common shares as capital assets within the meaning of Section 1221 of the Code.</w:t>
      </w:r>
    </w:p>
    <w:p>
      <w:pPr>
        <w:spacing w:after="0" w:line="17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Each shareholder is urged to consult the shareholder's tax advisor as to the specific tax consequences of the distribution to that shareholder, including the effect of any U.S. federal, state or local or foreign tax laws and of changes in applicable tax laws.</w:t>
      </w:r>
    </w:p>
    <w:p>
      <w:pPr>
        <w:spacing w:after="0" w:line="170" w:lineRule="exact"/>
        <w:rPr>
          <w:sz w:val="20"/>
          <w:szCs w:val="20"/>
          <w:color w:val="auto"/>
        </w:rPr>
      </w:pPr>
    </w:p>
    <w:p>
      <w:pPr>
        <w:ind w:right="60" w:firstLine="332"/>
        <w:spacing w:after="0" w:line="298" w:lineRule="auto"/>
        <w:rPr>
          <w:sz w:val="20"/>
          <w:szCs w:val="20"/>
          <w:color w:val="auto"/>
        </w:rPr>
      </w:pPr>
      <w:r>
        <w:rPr>
          <w:rFonts w:ascii="Arial" w:cs="Arial" w:eastAsia="Arial" w:hAnsi="Arial"/>
          <w:sz w:val="15"/>
          <w:szCs w:val="15"/>
          <w:color w:val="auto"/>
        </w:rPr>
        <w:t>Abbott expects to receive a private letter ruling from the IRS to the effect that, among other things, the separation and the distribution will qualify as a reorganization for U.S. federal income tax purposes under Sections 355 and 368(a)(1)(D) of the Code. It is a condition to the distribution that the private letter ruling not be revoked or modified in any material respect. Such ruling is based on, among other things, certain assumptions as well as on the accuracy, correctness and completeness of certain representations and statements that Abbott and AbbVie made to the IRS. In rendering the ruling, the IRS also relied on certain covenants that Abbott and AbbVie enter into, including the adherence by Abbott and AbbVie to certain restrictions on future actions. Although a private letter ruling from the IRS is generally binding on the IRS, if any of the assumptions, representations or statements that Abbott and AbbVie made are, or become, inaccurate, incorrect or incomplete, or if Abbott or AbbVie breach any of their covenants, the separation and the distribution might not qualify as a reorganization for U.S. federal income tax purposes under Sections 355 and 368(a)(1)(D) of the Code. For these reasons, notwithstanding receipt by Abbott of the private letter ruling, the IRS could assert successfully that the distribution was taxable. In that event, the consequences described in the ruling would not apply and both Abbott and holders of Abbott common shares who received shares of AbbVie common stock in the distribution could be subject to significant U.S. federal income tax liability.</w:t>
      </w:r>
    </w:p>
    <w:p>
      <w:pPr>
        <w:spacing w:after="0" w:line="166"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Abbott expects that under the private letter ruling from the IRS, the separation and the distribution will qualify as a reorganization for U.S. federal income tax purposes under Sections 355 and 368(a)(1)(D) of the Code, and accordingly, the following will describe the material U.S. federal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consequences to Abbott, AbbVie and Abbott shareholders of the separation and the distribution:</w:t>
      </w:r>
    </w:p>
    <w:p>
      <w:pPr>
        <w:spacing w:after="0" w:line="237" w:lineRule="exact"/>
        <w:rPr>
          <w:sz w:val="20"/>
          <w:szCs w:val="20"/>
          <w:color w:val="auto"/>
        </w:rPr>
      </w:pPr>
    </w:p>
    <w:p>
      <w:pPr>
        <w:ind w:left="1060" w:right="40" w:hanging="531"/>
        <w:spacing w:after="0" w:line="263" w:lineRule="auto"/>
        <w:tabs>
          <w:tab w:leader="none" w:pos="10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subject to the discussion below regarding Section 355(e) of the Code, neither AbbVie nor Abbott will recognize any gain or loss upon the separation and the distribution of AbbVie common stock and no amount will be includable in the income of Abbott or AbbVie as a result of the separation and the distribution other than taxable income or gain possibly arising out of internal reorganizations undertaken in connection with the separation and distribution and with respect to any items required to be taken into account under U.S. Treasury regulations relating to consolidated federal income tax returns;</w:t>
      </w:r>
    </w:p>
    <w:p>
      <w:pPr>
        <w:spacing w:after="0" w:line="213"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an Abbott shareholder will not recognize any gain or loss and no amount will be includable in income as a result of the receipt of AbbVie common stock pursuant to the distribution, except with respect to any cash received in lieu of fractional shares of AbbVie common stock (as described below);</w:t>
      </w:r>
    </w:p>
    <w:p>
      <w:pPr>
        <w:spacing w:after="0" w:line="136" w:lineRule="exact"/>
        <w:rPr>
          <w:rFonts w:ascii="Arial" w:cs="Arial" w:eastAsia="Arial" w:hAnsi="Arial"/>
          <w:sz w:val="15"/>
          <w:szCs w:val="15"/>
          <w:color w:val="auto"/>
        </w:rPr>
      </w:pPr>
    </w:p>
    <w:p>
      <w:pPr>
        <w:ind w:left="1060" w:right="20" w:hanging="531"/>
        <w:spacing w:after="0" w:line="263" w:lineRule="auto"/>
        <w:tabs>
          <w:tab w:leader="none" w:pos="10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 Abbott shareholder's aggregate tax basis in such shareholder's Abbott common shares following the distribution and in AbbVie common stock received in the distribution (including any fractional share interest in AbbVie common stock for which cash is received) will equal such shareholder's tax basis in its Abbott common shares immediately before the distribution, allocated between the Abbott common shares and AbbVie common stock (including any fractional share interest in AbbVie common stock for which cash is received) in proportion to their fair market values on the distribution date;</w:t>
      </w:r>
    </w:p>
    <w:p>
      <w:pPr>
        <w:spacing w:after="0" w:line="200" w:lineRule="exact"/>
        <w:rPr>
          <w:rFonts w:ascii="Arial" w:cs="Arial" w:eastAsia="Arial" w:hAnsi="Arial"/>
          <w:sz w:val="17"/>
          <w:szCs w:val="17"/>
          <w:color w:val="auto"/>
        </w:rPr>
      </w:pPr>
    </w:p>
    <w:p>
      <w:pPr>
        <w:ind w:left="1060" w:right="540" w:hanging="531"/>
        <w:spacing w:after="0" w:line="315" w:lineRule="auto"/>
        <w:tabs>
          <w:tab w:leader="none" w:pos="10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 Abbott shareholder's holding period for AbbVie common stock received in the distribution (including any fractional share interest in AbbVie common stock for which cash is received) will include the holding period for that shareholder's Abbott common shares; and</w:t>
      </w:r>
    </w:p>
    <w:p>
      <w:pPr>
        <w:spacing w:after="0" w:line="172" w:lineRule="exact"/>
        <w:rPr>
          <w:rFonts w:ascii="Arial" w:cs="Arial" w:eastAsia="Arial" w:hAnsi="Arial"/>
          <w:sz w:val="16"/>
          <w:szCs w:val="16"/>
          <w:color w:val="auto"/>
        </w:rPr>
      </w:pPr>
    </w:p>
    <w:p>
      <w:pPr>
        <w:ind w:left="1060" w:right="20" w:hanging="531"/>
        <w:spacing w:after="0" w:line="265" w:lineRule="auto"/>
        <w:tabs>
          <w:tab w:leader="none" w:pos="10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 Abbott shareholder who receives cash in lieu of a fractional share of AbbVie common stock in the distribution will be treated as having sold such fractional share for cash, and will recognize capital gain or loss in an amount equal to the difference between the amount of cash received and the Abbott shareholder's adjusted tax basis in the fractional share. That gain or loss will be long-term capital gain or loss if the shareholder's holding period for its Abbott common shares exceeds one year at the time of the distribution.</w:t>
      </w:r>
    </w:p>
    <w:p>
      <w:pPr>
        <w:spacing w:after="0" w:line="185"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U.S. Treasury regulations provide that if an Abbott shareholder holds different blocks of Abbott common shares (generally Abbott common shares purchased or acquired on different dates or at different prices), the aggregate basis for each block of Abbott common shares purchased or acquired on the same date and at the same price will be allocated, to the greatest extent possible, between the shares of AbbVie common stock received in the distribution in respect of such block of Abbott common shares and such block of Abbott common shares, in proportion to their respective fair market values on the distribution date. The holding period of the shares of AbbVie common stock received in the distribution in respect of such block of Abbott common shares will include the holding period of such block of Abbott common shares. If an Abbott shareholder is not able to identify which particular shares of AbbVie common stock are received in the distribution with respect to a particular block of Abbott common shares, for purposes of applying the rules described above, the stockholder may designate which shares of AbbVie common stock are received in the distribution in respect of a particular block of Abbott common shares, provided that such designation is consistent with the terms of the distribution. Abbott shareholders are urged to consult their own tax advisors regarding the application of these rules to their particular circumstances.</w:t>
      </w:r>
    </w:p>
    <w:p>
      <w:pPr>
        <w:spacing w:after="0" w:line="164"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U.S. Treasury regulations also require certain Abbott shareholders who receive AbbVie common stock in the distribution to attach to the shareholder's U.S. federal income tax return for the year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is received a detailed statement setting forth certain information relating to the tax-free nature of the distribution.</w:t>
      </w:r>
    </w:p>
    <w:p>
      <w:pPr>
        <w:spacing w:after="0" w:line="224"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Even if the distribution otherwise qualifies as tax-free for U.S. federal income tax purposes under Section 355 of the Code, it could be taxable to Abbott (but not Abbott's shareholders) under Section 355(e) of the Code if the distribution were later deemed to be part of a plan (or series of related transactions) pursuant to which one or more persons acquire, directly or indirectly, stock representing a 50 percent or greater interest by vote or value, in Abbott or AbbVie. For this purpose, any acquisitions of Abbott common shares or AbbVie common stock within the period beginning two years before the distribution and ending two years after the distribution are presumed to be part of such a plan, although Abbott or AbbVie may be able to rebut that presumption.</w:t>
      </w:r>
    </w:p>
    <w:p>
      <w:pPr>
        <w:spacing w:after="0" w:line="174"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Payments of cash to holders of Abbott common shares in lieu of fractional shares may be subject to information reporting and backup withholding at a rate of 28 percent, unless a shareholder provides proof of an applicable exemption or a correct taxpayer identification number and otherwise complies with the requirements of the backup withholding rules. Backup withholding does not constitute an additional tax. Amounts withheld as backup withholding may be refunded or credited against a shareholder's U.S. federal income tax liability, provided that the required information is timely supplied to the IRS.</w:t>
      </w:r>
    </w:p>
    <w:p>
      <w:pPr>
        <w:spacing w:after="0" w:line="169"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In connection with the distribution, AbbVie and Abbott will enter into a tax sharing agreement pursuant to which AbbVie will agree to be responsible for certain tax liabilities and obligations following the distribution. For a description of the tax sharing agreement, see "Certain Relationships and Related Person Transactions— Tax Sharing Agreement."</w:t>
      </w:r>
    </w:p>
    <w:p>
      <w:pPr>
        <w:spacing w:after="0" w:line="17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b w:val="1"/>
          <w:bCs w:val="1"/>
          <w:color w:val="auto"/>
        </w:rPr>
        <w:t>The foregoing is a summary of material U.S. federal income tax consequences of the separation and the distribution under current law and particular circumstances. The foregoing does not purport to address all U.S. federal income tax consequences or tax consequences that may arise under the tax laws of other jurisdictions or that may apply to particular categories of shareholders. Each Abbott shareholder should consult its own tax advisor as to the particular tax consequences of the distribution to such shareholder, including the application of U.S. federal, state or local and foreign tax laws, and the effect of possible changes in tax laws that may affect the tax consequences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July 2012, AbbVie and Abbott entered into a $2.0 billion unsecured 5-year revolving credit facility. Bank of America, N.A. is the administrative agent. Morgan Stanley Senior Funding, Inc.,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of shares of AbbVie common stock to Abbott shareholders and subject to the satisfaction of certain conditions, Abbott will be relieved of all obligations under the revolving credit facility, and AbbVie will become solely obligated to satisfy any payments and other obligations under the revolving credit facility. No amounts are currently outstanding under the revolving credit facility, and AbbVie does not expect to borrow under the facility unless other sources of financing are insufficient or unavailable. AbbVie intends the revolving credit facility to support commercial paper borrowing arrangements.</w:t>
      </w:r>
    </w:p>
    <w:p>
      <w:pPr>
        <w:spacing w:after="0" w:line="175" w:lineRule="exact"/>
        <w:rPr>
          <w:sz w:val="20"/>
          <w:szCs w:val="20"/>
          <w:color w:val="auto"/>
        </w:rPr>
      </w:pPr>
    </w:p>
    <w:p>
      <w:pPr>
        <w:ind w:right="80" w:firstLine="341"/>
        <w:spacing w:after="0" w:line="260" w:lineRule="auto"/>
        <w:rPr>
          <w:sz w:val="20"/>
          <w:szCs w:val="20"/>
          <w:color w:val="auto"/>
        </w:rPr>
      </w:pPr>
      <w:r>
        <w:rPr>
          <w:rFonts w:ascii="Arial" w:cs="Arial" w:eastAsia="Arial" w:hAnsi="Arial"/>
          <w:sz w:val="17"/>
          <w:szCs w:val="17"/>
          <w:color w:val="auto"/>
        </w:rPr>
        <w:t>In July 2012, AbbVie entered into a $7.5 billion unsecured 364-day bridge loan facility. The bridge loan facility has been guaranteed by Abbott. Morgan Stanley Senior Funding, Inc. is the administrative agent. Bank of America, N.A.,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of shares of AbbVie common stock to Abbott shareholders and subject to the satisfaction of certain conditions, Abbott will be relieved of all obligations under its guarantee of the bridge loan facility. No amounts are currently outstanding under the bridge loan facility. Subject to the satisfaction of certain conditions, AbbVie may make up to two drawings under the bridge loan facility. AbbVie does not expect to borrow under the bridge loan facility unless other sources of financing are insufficient or unavailable. If AbbVie elects to borrow under the bridge loan facility, it may use the proceeds to make a distribution to Abbott to repay debt of Abbott, as well as to pay costs and expenses relating to the distribution and related transactions, and for other general corporate purposes.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enter into certain additional financing arrangements prior to or concurrent with the separation.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ABBVIE'S CAPITAL STOCK</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i w:val="1"/>
          <w:iCs w:val="1"/>
          <w:color w:val="auto"/>
        </w:rPr>
        <w:t>AbbVie's certificate of incorporation and by-laws will be amended and restated prior to the separation. The following is a summary of the material terms of AbbVie's capital stock that will be contained in the amended and restated certificate of incorporation and by-laws. The summaries and descriptions below do not purport to be complete statements of the relevant provisions of the certificate of incorporation or of the by-laws to be in effect at the time of the distribution. The summary is qualified in its entirety by reference to these documents, which you must read (along with the applicable provisions of Delaware law) for complete information on AbbVie's capital stock as of the time of the distribution. The certificate of incorporation and by-laws to be in effect at the time of the distribution will be included as exhibits to AbbVie's registration statement on Form 10, of which this information statement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AbbVie's authorized capital stock consists of billion shares of common stock, par value $0.01 per share, and million shares of preferred stock, par value $0.01 per share, all of which shares of preferred stock are undesignated. AbbVie's board of directors may establish the rights and preferences of the preferred stock</w:t>
      </w:r>
    </w:p>
    <w:p>
      <w:pPr>
        <w:ind w:right="160"/>
        <w:spacing w:after="0" w:line="275" w:lineRule="auto"/>
        <w:rPr>
          <w:sz w:val="20"/>
          <w:szCs w:val="20"/>
          <w:color w:val="auto"/>
        </w:rPr>
      </w:pPr>
      <w:r>
        <w:rPr>
          <w:rFonts w:ascii="Arial" w:cs="Arial" w:eastAsia="Arial" w:hAnsi="Arial"/>
          <w:sz w:val="17"/>
          <w:szCs w:val="17"/>
          <w:color w:val="auto"/>
        </w:rPr>
        <w:t>from time to time. Immediately following the distribution, AbbVie expects that approximately billion shares of its common stock will be issued and outstanding and that no shares of preferred stock will be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Each holder of AbbVie common stock will be entitled to one vote for each share on all matters to be voted upon by the common stockholders, and there will be no cumulative voting rights. Subject to any preferential rights of any outstanding preferred stock, holders of AbbVie common stock will be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Holders of AbbVie common stock will have no preemptive or conversion rights or other subscription rights, and there are no redemption or sinking fund provisions applicable to the common stock. After the distribution, all outstanding shares of AbbVie common stock will be fully paid and non-assessable.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terms of AbbVie's amended and restated certificate of incorporation, its board of directors will be authorized, subject to limitations prescribed by the</w:t>
      </w:r>
    </w:p>
    <w:p>
      <w:pPr>
        <w:spacing w:after="0" w:line="43"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Delaware General Corporation Law, or the DGCL, and by its amended and restated certificate of incorporation, to issue up to million shares of preferred stock in one or more series without further action by the holders of its common stock. AbbVie's board of directors will have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 AbbVie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7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will be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77"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7"/>
          <w:szCs w:val="17"/>
          <w:i w:val="1"/>
          <w:iCs w:val="1"/>
          <w:color w:val="auto"/>
        </w:rPr>
        <w:t>Classified Board.</w:t>
      </w:r>
      <w:r>
        <w:rPr>
          <w:sz w:val="20"/>
          <w:szCs w:val="20"/>
          <w:color w:val="auto"/>
        </w:rPr>
        <w:tab/>
      </w:r>
      <w:r>
        <w:rPr>
          <w:rFonts w:ascii="Arial" w:cs="Arial" w:eastAsia="Arial" w:hAnsi="Arial"/>
          <w:sz w:val="15"/>
          <w:szCs w:val="15"/>
          <w:color w:val="auto"/>
        </w:rPr>
        <w:t>AbbVie's amended and restated certificate of incorporation and amended and restated by-laws will provide that its board of directors will be</w:t>
      </w:r>
    </w:p>
    <w:p>
      <w:pPr>
        <w:spacing w:after="0" w:line="20"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divided into three classes. At the time of the separation, AbbVie's board of directors will be divided into three classes, each comprised of</w:t>
      </w:r>
      <w:r>
        <w:rPr>
          <w:sz w:val="20"/>
          <w:szCs w:val="20"/>
          <w:color w:val="auto"/>
        </w:rPr>
        <w:tab/>
      </w:r>
      <w:r>
        <w:rPr>
          <w:rFonts w:ascii="Arial" w:cs="Arial" w:eastAsia="Arial" w:hAnsi="Arial"/>
          <w:sz w:val="15"/>
          <w:szCs w:val="15"/>
          <w:color w:val="auto"/>
        </w:rPr>
        <w:t>directors.</w:t>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color w:val="auto"/>
        </w:rPr>
        <w:t>The</w:t>
      </w:r>
      <w:r>
        <w:rPr>
          <w:sz w:val="20"/>
          <w:szCs w:val="20"/>
          <w:color w:val="auto"/>
        </w:rPr>
        <w:tab/>
      </w:r>
      <w:r>
        <w:rPr>
          <w:rFonts w:ascii="Arial" w:cs="Arial" w:eastAsia="Arial" w:hAnsi="Arial"/>
          <w:sz w:val="15"/>
          <w:szCs w:val="15"/>
          <w:color w:val="auto"/>
        </w:rPr>
        <w:t>directors designated as Class I directors will have terms expiring at the first annual meeting of stockholders following the distribution, which AbbVie expects</w:t>
      </w:r>
    </w:p>
    <w:p>
      <w:pPr>
        <w:spacing w:after="0" w:line="37"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to hold in 2013. The</w:t>
      </w:r>
      <w:r>
        <w:rPr>
          <w:sz w:val="20"/>
          <w:szCs w:val="20"/>
          <w:color w:val="auto"/>
        </w:rPr>
        <w:tab/>
      </w:r>
      <w:r>
        <w:rPr>
          <w:rFonts w:ascii="Arial" w:cs="Arial" w:eastAsia="Arial" w:hAnsi="Arial"/>
          <w:sz w:val="15"/>
          <w:szCs w:val="15"/>
          <w:color w:val="auto"/>
        </w:rPr>
        <w:t>directors designated as Class II directors will have terms expiring at the following year's annual meeting of stockholders, which AbbVie</w:t>
      </w:r>
    </w:p>
    <w:p>
      <w:pPr>
        <w:spacing w:after="0" w:line="14"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expects to hold in 2014, and the</w:t>
      </w:r>
      <w:r>
        <w:rPr>
          <w:sz w:val="20"/>
          <w:szCs w:val="20"/>
          <w:color w:val="auto"/>
        </w:rPr>
        <w:tab/>
      </w:r>
      <w:r>
        <w:rPr>
          <w:rFonts w:ascii="Arial" w:cs="Arial" w:eastAsia="Arial" w:hAnsi="Arial"/>
          <w:sz w:val="15"/>
          <w:szCs w:val="15"/>
          <w:color w:val="auto"/>
        </w:rPr>
        <w:t>directors designated as Class III directors will have terms expiring at the following year's annual meeting of stockholders, which</w:t>
      </w:r>
    </w:p>
    <w:p>
      <w:pPr>
        <w:spacing w:after="0" w:line="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75" w:lineRule="exact"/>
        <w:rPr>
          <w:sz w:val="20"/>
          <w:szCs w:val="20"/>
          <w:color w:val="auto"/>
        </w:rPr>
      </w:pPr>
    </w:p>
    <w:p>
      <w:pPr>
        <w:ind w:left="2020" w:right="1600" w:hanging="5239"/>
        <w:spacing w:after="0" w:line="540" w:lineRule="auto"/>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7"/>
          <w:szCs w:val="17"/>
          <w:color w:val="auto"/>
        </w:rPr>
        <w:t>AbbVie's amended and restated by-laws will provide that its stockholders may only remove its directors for cause.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will provide that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80 percent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will provide that they may be amended by AbbVie's board of directors or by the affirmative vote of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AbbVie's voting stock then outstanding, except that the affirmative vote of holders of at least 80 percent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will provide that the number of directors on its board of directors will be fixed exclusively</w:t>
      </w:r>
      <w:r>
        <w:rPr>
          <w:rFonts w:ascii="Arial" w:cs="Arial" w:eastAsia="Arial" w:hAnsi="Arial"/>
          <w:sz w:val="16"/>
          <w:szCs w:val="16"/>
          <w:i w:val="1"/>
          <w:iCs w:val="1"/>
          <w:color w:val="auto"/>
        </w:rPr>
        <w:t xml:space="preserve"> </w:t>
      </w:r>
      <w:r>
        <w:rPr>
          <w:rFonts w:ascii="Arial" w:cs="Arial" w:eastAsia="Arial" w:hAnsi="Arial"/>
          <w:sz w:val="16"/>
          <w:szCs w:val="16"/>
          <w:color w:val="auto"/>
        </w:rPr>
        <w:t>by 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will provide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will expressly eliminate the right of its stockholders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Stockholder action must take place at the annual or a special meeting of AbbVie stockholders.</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will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will not provide for cumulative voting.</w:t>
      </w:r>
    </w:p>
    <w:p>
      <w:pPr>
        <w:spacing w:after="0" w:line="14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will possess to issue preferred stock could potentially be used to discourage</w:t>
      </w:r>
      <w:r>
        <w:rPr>
          <w:rFonts w:ascii="Arial" w:cs="Arial" w:eastAsia="Arial" w:hAnsi="Arial"/>
          <w:sz w:val="17"/>
          <w:szCs w:val="17"/>
          <w:i w:val="1"/>
          <w:iCs w:val="1"/>
          <w:color w:val="auto"/>
        </w:rPr>
        <w:t xml:space="preserve"> </w:t>
      </w:r>
      <w:r>
        <w:rPr>
          <w:rFonts w:ascii="Arial" w:cs="Arial" w:eastAsia="Arial" w:hAnsi="Arial"/>
          <w:sz w:val="17"/>
          <w:szCs w:val="17"/>
          <w:color w:val="auto"/>
        </w:rPr>
        <w:t>attempts by third parties to obtain control of AbbVie's company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will include such an exculpation provision. AbbVie's amended and restated certificate of incorporation and by-laws will include provisions that indemnify, to the fullest extent allowable under the DGCL, the personal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will also provide that AbbVie must indemnify and advance reasonable expenses to its directors and officers, subject to its receipt of an undertaking from the indemnified party as may be required under the DGCL. AbbVie's amended and restated certificate of incorporation will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100" w:firstLine="338"/>
        <w:spacing w:after="0" w:line="261" w:lineRule="auto"/>
        <w:rPr>
          <w:sz w:val="20"/>
          <w:szCs w:val="20"/>
          <w:color w:val="auto"/>
        </w:rPr>
      </w:pPr>
      <w:r>
        <w:rPr>
          <w:rFonts w:ascii="Arial" w:cs="Arial" w:eastAsia="Arial" w:hAnsi="Arial"/>
          <w:sz w:val="17"/>
          <w:szCs w:val="17"/>
          <w:color w:val="auto"/>
        </w:rPr>
        <w:t>The limitation of liability and indemnification provisions that will be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 In addition, your investment may be adversely affected to the extent that, in a class action or direct suit, AbbVie pays the costs of settlement and damage awards against directors and officers pursuant to these indemnification provisions. There is currently no pending material litigation or proceeding against any AbbVie directors, officers or employees for which indemnification is sought.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AbbVie's amended and restated certificate of incorporation will provide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apply to have its shares of common stock listed on the NYSE under the symbol "ABBV."</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Unregistered Securities</w:t>
      </w:r>
    </w:p>
    <w:p>
      <w:pPr>
        <w:spacing w:after="0" w:line="228" w:lineRule="exact"/>
        <w:rPr>
          <w:sz w:val="20"/>
          <w:szCs w:val="20"/>
          <w:color w:val="auto"/>
        </w:rPr>
      </w:pPr>
    </w:p>
    <w:p>
      <w:pPr>
        <w:ind w:left="340"/>
        <w:spacing w:after="0"/>
        <w:tabs>
          <w:tab w:leader="none" w:pos="1560" w:val="left"/>
          <w:tab w:leader="none" w:pos="340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2012, AbbVie issued</w:t>
      </w:r>
      <w:r>
        <w:rPr>
          <w:sz w:val="20"/>
          <w:szCs w:val="20"/>
          <w:color w:val="auto"/>
        </w:rPr>
        <w:tab/>
      </w:r>
      <w:r>
        <w:rPr>
          <w:rFonts w:ascii="Arial" w:cs="Arial" w:eastAsia="Arial" w:hAnsi="Arial"/>
          <w:sz w:val="15"/>
          <w:szCs w:val="15"/>
          <w:color w:val="auto"/>
        </w:rPr>
        <w:t>share[s] of common stock, par value $0.01 per share, to Abbott pursuant to Section 4(2) of the Securities Act.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AbbVie did not register the issuance of the issued share[s] under the Securities Act because such issuance did not constitute a public offering.</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distribution, the transfer agent and registrar for AbbVie's common stock will be Computershare Trust Company, N.A.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AbbVie has filed a registration statement on Form 10 with the SEC with respect to the shares of AbbVie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AbbVie and its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information statement is not incorporated by reference in this information statement.</w:t>
      </w:r>
    </w:p>
    <w:p>
      <w:pPr>
        <w:spacing w:after="0" w:line="177"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a result of the distribution, AbbVie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intends to furnish holders of its common stock with annual reports containing consolidated financial statements prepared in accordance with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18" w:lineRule="exact"/>
        <w:rPr>
          <w:sz w:val="20"/>
          <w:szCs w:val="20"/>
          <w:color w:val="auto"/>
        </w:rPr>
      </w:pPr>
    </w:p>
    <w:p>
      <w:pPr>
        <w:ind w:right="600" w:firstLine="335"/>
        <w:spacing w:after="0" w:line="315"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AbbVie has not authorized any person to provide you with different information or to make any representation not contained in this information statement.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95"/>
        </w:trPr>
        <w:tc>
          <w:tcPr>
            <w:tcW w:w="8580" w:type="dxa"/>
            <w:vAlign w:val="bottom"/>
            <w:gridSpan w:val="14"/>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Table of Contents</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7"/>
          </w:tcPr>
          <w:p>
            <w:pPr>
              <w:jc w:val="center"/>
              <w:ind w:right="1055"/>
              <w:spacing w:after="0"/>
              <w:rPr>
                <w:sz w:val="20"/>
                <w:szCs w:val="20"/>
                <w:color w:val="auto"/>
              </w:rPr>
            </w:pPr>
            <w:r>
              <w:rPr>
                <w:rFonts w:ascii="Arial" w:cs="Arial" w:eastAsia="Arial" w:hAnsi="Arial"/>
                <w:sz w:val="17"/>
                <w:szCs w:val="17"/>
                <w:b w:val="1"/>
                <w:bCs w:val="1"/>
                <w:color w:val="auto"/>
              </w:rPr>
              <w:t>INDEX TO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Audited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20" w:type="dxa"/>
            <w:vAlign w:val="bottom"/>
            <w:gridSpan w:val="13"/>
          </w:tcPr>
          <w:p>
            <w:pPr>
              <w:spacing w:after="0"/>
              <w:rPr>
                <w:rFonts w:ascii="Arial" w:cs="Arial" w:eastAsia="Arial" w:hAnsi="Arial"/>
                <w:sz w:val="17"/>
                <w:szCs w:val="17"/>
                <w:color w:val="0000EE"/>
              </w:rPr>
            </w:pPr>
            <w:hyperlink w:anchor="page237">
              <w:r>
                <w:rPr>
                  <w:rFonts w:ascii="Arial" w:cs="Arial" w:eastAsia="Arial" w:hAnsi="Arial"/>
                  <w:sz w:val="17"/>
                  <w:szCs w:val="17"/>
                  <w:color w:val="0000EE"/>
                </w:rPr>
                <w:t>Report of Independent Registered Public Accounting Firm</w:t>
              </w:r>
            </w:hyperlink>
          </w:p>
        </w:tc>
        <w:tc>
          <w:tcPr>
            <w:tcW w:w="1380" w:type="dxa"/>
            <w:vAlign w:val="bottom"/>
          </w:tcPr>
          <w:p>
            <w:pPr>
              <w:spacing w:after="0"/>
              <w:rPr>
                <w:sz w:val="24"/>
                <w:szCs w:val="24"/>
                <w:color w:val="auto"/>
              </w:rPr>
            </w:pPr>
          </w:p>
        </w:tc>
        <w:tc>
          <w:tcPr>
            <w:tcW w:w="1460" w:type="dxa"/>
            <w:vAlign w:val="bottom"/>
            <w:gridSpan w:val="3"/>
          </w:tcPr>
          <w:p>
            <w:pPr>
              <w:jc w:val="right"/>
              <w:ind w:right="1140"/>
              <w:spacing w:after="0"/>
              <w:rPr>
                <w:rFonts w:ascii="Arial" w:cs="Arial" w:eastAsia="Arial" w:hAnsi="Arial"/>
                <w:sz w:val="17"/>
                <w:szCs w:val="17"/>
                <w:color w:val="0000EE"/>
              </w:rPr>
            </w:pPr>
            <w:hyperlink w:anchor="page237">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260" w:type="dxa"/>
            <w:vAlign w:val="bottom"/>
            <w:gridSpan w:val="3"/>
          </w:tcPr>
          <w:p>
            <w:pPr>
              <w:spacing w:after="0" w:line="189" w:lineRule="exact"/>
              <w:rPr>
                <w:rFonts w:ascii="Arial" w:cs="Arial" w:eastAsia="Arial" w:hAnsi="Arial"/>
                <w:sz w:val="17"/>
                <w:szCs w:val="17"/>
                <w:color w:val="0000EE"/>
                <w:w w:val="89"/>
              </w:rPr>
            </w:pPr>
            <w:hyperlink w:anchor="page238">
              <w:r>
                <w:rPr>
                  <w:rFonts w:ascii="Arial" w:cs="Arial" w:eastAsia="Arial" w:hAnsi="Arial"/>
                  <w:sz w:val="17"/>
                  <w:szCs w:val="17"/>
                  <w:color w:val="0000EE"/>
                  <w:w w:val="89"/>
                </w:rPr>
                <w:t>Combined Statement of Earnings</w:t>
              </w:r>
            </w:hyperlink>
          </w:p>
        </w:tc>
        <w:tc>
          <w:tcPr>
            <w:tcW w:w="1700" w:type="dxa"/>
            <w:vAlign w:val="bottom"/>
            <w:gridSpan w:val="8"/>
          </w:tcPr>
          <w:p>
            <w:pPr>
              <w:spacing w:after="0"/>
              <w:rPr>
                <w:sz w:val="16"/>
                <w:szCs w:val="16"/>
                <w:color w:val="auto"/>
              </w:rPr>
            </w:pPr>
          </w:p>
        </w:tc>
        <w:tc>
          <w:tcPr>
            <w:tcW w:w="346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38">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239">
              <w:r>
                <w:rPr>
                  <w:rFonts w:ascii="Arial" w:cs="Arial" w:eastAsia="Arial" w:hAnsi="Arial"/>
                  <w:sz w:val="17"/>
                  <w:szCs w:val="17"/>
                  <w:color w:val="0000EE"/>
                  <w:w w:val="88"/>
                </w:rPr>
                <w:t>Combined Statement of Comprehensive Income</w:t>
              </w:r>
            </w:hyperlink>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39">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460" w:type="dxa"/>
            <w:vAlign w:val="bottom"/>
            <w:gridSpan w:val="4"/>
          </w:tcPr>
          <w:p>
            <w:pPr>
              <w:spacing w:after="0" w:line="189" w:lineRule="exact"/>
              <w:rPr>
                <w:rFonts w:ascii="Arial" w:cs="Arial" w:eastAsia="Arial" w:hAnsi="Arial"/>
                <w:sz w:val="17"/>
                <w:szCs w:val="17"/>
                <w:color w:val="0000EE"/>
                <w:w w:val="89"/>
              </w:rPr>
            </w:pPr>
            <w:hyperlink w:anchor="page240">
              <w:r>
                <w:rPr>
                  <w:rFonts w:ascii="Arial" w:cs="Arial" w:eastAsia="Arial" w:hAnsi="Arial"/>
                  <w:sz w:val="17"/>
                  <w:szCs w:val="17"/>
                  <w:color w:val="0000EE"/>
                  <w:w w:val="89"/>
                </w:rPr>
                <w:t>Combined Statement of Cash Flows</w:t>
              </w:r>
            </w:hyperlink>
          </w:p>
        </w:tc>
        <w:tc>
          <w:tcPr>
            <w:tcW w:w="800" w:type="dxa"/>
            <w:vAlign w:val="bottom"/>
            <w:gridSpan w:val="5"/>
          </w:tcPr>
          <w:p>
            <w:pPr>
              <w:spacing w:after="0"/>
              <w:rPr>
                <w:sz w:val="16"/>
                <w:szCs w:val="16"/>
                <w:color w:val="auto"/>
              </w:rPr>
            </w:pPr>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0">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720" w:type="dxa"/>
            <w:vAlign w:val="bottom"/>
            <w:gridSpan w:val="2"/>
          </w:tcPr>
          <w:p>
            <w:pPr>
              <w:spacing w:after="0" w:line="189" w:lineRule="exact"/>
              <w:rPr>
                <w:rFonts w:ascii="Arial" w:cs="Arial" w:eastAsia="Arial" w:hAnsi="Arial"/>
                <w:sz w:val="17"/>
                <w:szCs w:val="17"/>
                <w:color w:val="0000EE"/>
                <w:w w:val="88"/>
              </w:rPr>
            </w:pPr>
            <w:hyperlink w:anchor="page241">
              <w:r>
                <w:rPr>
                  <w:rFonts w:ascii="Arial" w:cs="Arial" w:eastAsia="Arial" w:hAnsi="Arial"/>
                  <w:sz w:val="17"/>
                  <w:szCs w:val="17"/>
                  <w:color w:val="0000EE"/>
                  <w:w w:val="88"/>
                </w:rPr>
                <w:t>Combined Balance Sheet</w:t>
              </w:r>
            </w:hyperlink>
          </w:p>
        </w:tc>
        <w:tc>
          <w:tcPr>
            <w:tcW w:w="740" w:type="dxa"/>
            <w:vAlign w:val="bottom"/>
            <w:gridSpan w:val="2"/>
          </w:tcPr>
          <w:p>
            <w:pPr>
              <w:spacing w:after="0"/>
              <w:rPr>
                <w:sz w:val="16"/>
                <w:szCs w:val="16"/>
                <w:color w:val="auto"/>
              </w:rPr>
            </w:pPr>
          </w:p>
        </w:tc>
        <w:tc>
          <w:tcPr>
            <w:tcW w:w="4960" w:type="dxa"/>
            <w:vAlign w:val="bottom"/>
            <w:gridSpan w:val="9"/>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1">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w w:val="91"/>
              </w:rPr>
            </w:pPr>
            <w:hyperlink w:anchor="page242">
              <w:r>
                <w:rPr>
                  <w:rFonts w:ascii="Arial" w:cs="Arial" w:eastAsia="Arial" w:hAnsi="Arial"/>
                  <w:sz w:val="17"/>
                  <w:szCs w:val="17"/>
                  <w:color w:val="0000EE"/>
                  <w:w w:val="91"/>
                </w:rPr>
                <w:t>Combined Statement of Investment in AbbVie</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2">
              <w:r>
                <w:rPr>
                  <w:rFonts w:ascii="Arial" w:cs="Arial" w:eastAsia="Arial" w:hAnsi="Arial"/>
                  <w:sz w:val="17"/>
                  <w:szCs w:val="17"/>
                  <w:color w:val="0000EE"/>
                </w:rPr>
                <w:t>F-7</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rPr>
            </w:pPr>
            <w:hyperlink w:anchor="page243">
              <w:r>
                <w:rPr>
                  <w:rFonts w:ascii="Arial" w:cs="Arial" w:eastAsia="Arial" w:hAnsi="Arial"/>
                  <w:sz w:val="17"/>
                  <w:szCs w:val="17"/>
                  <w:color w:val="0000EE"/>
                </w:rPr>
                <w:t>Notes to Combined Financial Statements</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3">
              <w:r>
                <w:rPr>
                  <w:rFonts w:ascii="Arial" w:cs="Arial" w:eastAsia="Arial" w:hAnsi="Arial"/>
                  <w:sz w:val="17"/>
                  <w:szCs w:val="17"/>
                  <w:color w:val="0000EE"/>
                </w:rPr>
                <w:t>F-8</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6"/>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Unaudited Condensed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3060" w:type="dxa"/>
            <w:vAlign w:val="bottom"/>
            <w:gridSpan w:val="7"/>
          </w:tcPr>
          <w:p>
            <w:pPr>
              <w:spacing w:after="0"/>
              <w:rPr>
                <w:rFonts w:ascii="Arial" w:cs="Arial" w:eastAsia="Arial" w:hAnsi="Arial"/>
                <w:sz w:val="17"/>
                <w:szCs w:val="17"/>
                <w:color w:val="0000EE"/>
                <w:w w:val="88"/>
              </w:rPr>
            </w:pPr>
            <w:hyperlink w:anchor="page267">
              <w:r>
                <w:rPr>
                  <w:rFonts w:ascii="Arial" w:cs="Arial" w:eastAsia="Arial" w:hAnsi="Arial"/>
                  <w:sz w:val="17"/>
                  <w:szCs w:val="17"/>
                  <w:color w:val="0000EE"/>
                  <w:w w:val="88"/>
                </w:rPr>
                <w:t>Condensed Combined Statement of Earnings</w:t>
              </w:r>
            </w:hyperlink>
          </w:p>
        </w:tc>
        <w:tc>
          <w:tcPr>
            <w:tcW w:w="4360" w:type="dxa"/>
            <w:vAlign w:val="bottom"/>
            <w:gridSpan w:val="6"/>
          </w:tcPr>
          <w:p>
            <w:pPr>
              <w:spacing w:after="0"/>
              <w:rPr>
                <w:sz w:val="24"/>
                <w:szCs w:val="24"/>
                <w:color w:val="auto"/>
              </w:rPr>
            </w:pPr>
          </w:p>
        </w:tc>
        <w:tc>
          <w:tcPr>
            <w:tcW w:w="2840" w:type="dxa"/>
            <w:vAlign w:val="bottom"/>
            <w:gridSpan w:val="4"/>
          </w:tcPr>
          <w:p>
            <w:pPr>
              <w:jc w:val="right"/>
              <w:ind w:right="1140"/>
              <w:spacing w:after="0"/>
              <w:rPr>
                <w:rFonts w:ascii="Arial" w:cs="Arial" w:eastAsia="Arial" w:hAnsi="Arial"/>
                <w:sz w:val="17"/>
                <w:szCs w:val="17"/>
                <w:color w:val="0000EE"/>
              </w:rPr>
            </w:pPr>
            <w:hyperlink w:anchor="page267">
              <w:r>
                <w:rPr>
                  <w:rFonts w:ascii="Arial" w:cs="Arial" w:eastAsia="Arial" w:hAnsi="Arial"/>
                  <w:sz w:val="17"/>
                  <w:szCs w:val="17"/>
                  <w:color w:val="0000EE"/>
                </w:rPr>
                <w:t>F-32</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080" w:type="dxa"/>
            <w:vAlign w:val="bottom"/>
            <w:gridSpan w:val="12"/>
          </w:tcPr>
          <w:p>
            <w:pPr>
              <w:spacing w:after="0" w:line="189" w:lineRule="exact"/>
              <w:rPr>
                <w:rFonts w:ascii="Arial" w:cs="Arial" w:eastAsia="Arial" w:hAnsi="Arial"/>
                <w:sz w:val="17"/>
                <w:szCs w:val="17"/>
                <w:color w:val="0000EE"/>
                <w:w w:val="89"/>
              </w:rPr>
            </w:pPr>
            <w:hyperlink w:anchor="page268">
              <w:r>
                <w:rPr>
                  <w:rFonts w:ascii="Arial" w:cs="Arial" w:eastAsia="Arial" w:hAnsi="Arial"/>
                  <w:sz w:val="17"/>
                  <w:szCs w:val="17"/>
                  <w:color w:val="0000EE"/>
                  <w:w w:val="89"/>
                </w:rPr>
                <w:t>Condensed Combined Statement of Comprehensive Income</w:t>
              </w:r>
            </w:hyperlink>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68">
              <w:r>
                <w:rPr>
                  <w:rFonts w:ascii="Arial" w:cs="Arial" w:eastAsia="Arial" w:hAnsi="Arial"/>
                  <w:sz w:val="17"/>
                  <w:szCs w:val="17"/>
                  <w:color w:val="0000EE"/>
                </w:rPr>
                <w:t>F-33</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269">
              <w:r>
                <w:rPr>
                  <w:rFonts w:ascii="Arial" w:cs="Arial" w:eastAsia="Arial" w:hAnsi="Arial"/>
                  <w:sz w:val="17"/>
                  <w:szCs w:val="17"/>
                  <w:color w:val="0000EE"/>
                  <w:w w:val="88"/>
                </w:rPr>
                <w:t>Condensed Combined Statement of Cash Flows</w:t>
              </w:r>
            </w:hyperlink>
          </w:p>
        </w:tc>
        <w:tc>
          <w:tcPr>
            <w:tcW w:w="820" w:type="dxa"/>
            <w:vAlign w:val="bottom"/>
            <w:gridSpan w:val="3"/>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69">
              <w:r>
                <w:rPr>
                  <w:rFonts w:ascii="Arial" w:cs="Arial" w:eastAsia="Arial" w:hAnsi="Arial"/>
                  <w:sz w:val="17"/>
                  <w:szCs w:val="17"/>
                  <w:color w:val="0000EE"/>
                </w:rPr>
                <w:t>F-34</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520" w:type="dxa"/>
            <w:vAlign w:val="bottom"/>
            <w:gridSpan w:val="5"/>
          </w:tcPr>
          <w:p>
            <w:pPr>
              <w:spacing w:after="0" w:line="189" w:lineRule="exact"/>
              <w:rPr>
                <w:rFonts w:ascii="Arial" w:cs="Arial" w:eastAsia="Arial" w:hAnsi="Arial"/>
                <w:sz w:val="17"/>
                <w:szCs w:val="17"/>
                <w:color w:val="0000EE"/>
                <w:w w:val="87"/>
              </w:rPr>
            </w:pPr>
            <w:hyperlink w:anchor="page270">
              <w:r>
                <w:rPr>
                  <w:rFonts w:ascii="Arial" w:cs="Arial" w:eastAsia="Arial" w:hAnsi="Arial"/>
                  <w:sz w:val="17"/>
                  <w:szCs w:val="17"/>
                  <w:color w:val="0000EE"/>
                  <w:w w:val="87"/>
                </w:rPr>
                <w:t>Condensed Combined Balance Sheet</w:t>
              </w:r>
            </w:hyperlink>
          </w:p>
        </w:tc>
        <w:tc>
          <w:tcPr>
            <w:tcW w:w="740" w:type="dxa"/>
            <w:vAlign w:val="bottom"/>
            <w:gridSpan w:val="4"/>
          </w:tcPr>
          <w:p>
            <w:pPr>
              <w:spacing w:after="0"/>
              <w:rPr>
                <w:sz w:val="16"/>
                <w:szCs w:val="16"/>
                <w:color w:val="auto"/>
              </w:rPr>
            </w:pPr>
          </w:p>
        </w:tc>
        <w:tc>
          <w:tcPr>
            <w:tcW w:w="4160" w:type="dxa"/>
            <w:vAlign w:val="bottom"/>
            <w:gridSpan w:val="4"/>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0">
              <w:r>
                <w:rPr>
                  <w:rFonts w:ascii="Arial" w:cs="Arial" w:eastAsia="Arial" w:hAnsi="Arial"/>
                  <w:sz w:val="17"/>
                  <w:szCs w:val="17"/>
                  <w:color w:val="0000EE"/>
                </w:rPr>
                <w:t>F-35</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89"/>
              </w:rPr>
            </w:pPr>
            <w:hyperlink w:anchor="page271">
              <w:r>
                <w:rPr>
                  <w:rFonts w:ascii="Arial" w:cs="Arial" w:eastAsia="Arial" w:hAnsi="Arial"/>
                  <w:sz w:val="17"/>
                  <w:szCs w:val="17"/>
                  <w:color w:val="0000EE"/>
                  <w:w w:val="89"/>
                </w:rPr>
                <w:t>Condensed Combined Statement of Investment in AbbVie</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1">
              <w:r>
                <w:rPr>
                  <w:rFonts w:ascii="Arial" w:cs="Arial" w:eastAsia="Arial" w:hAnsi="Arial"/>
                  <w:sz w:val="17"/>
                  <w:szCs w:val="17"/>
                  <w:color w:val="0000EE"/>
                </w:rPr>
                <w:t>F-36</w:t>
              </w:r>
            </w:hyperlink>
          </w:p>
        </w:tc>
      </w:tr>
      <w:tr>
        <w:trPr>
          <w:trHeight w:val="20"/>
        </w:trPr>
        <w:tc>
          <w:tcPr>
            <w:tcW w:w="1160" w:type="dxa"/>
            <w:vAlign w:val="bottom"/>
          </w:tcPr>
          <w:p>
            <w:pPr>
              <w:spacing w:after="0" w:line="20" w:lineRule="exact"/>
              <w:rPr>
                <w:sz w:val="1"/>
                <w:szCs w:val="1"/>
                <w:color w:val="auto"/>
              </w:rPr>
            </w:pPr>
          </w:p>
        </w:tc>
        <w:tc>
          <w:tcPr>
            <w:tcW w:w="35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97"/>
              </w:rPr>
            </w:pPr>
            <w:hyperlink w:anchor="page272">
              <w:r>
                <w:rPr>
                  <w:rFonts w:ascii="Arial" w:cs="Arial" w:eastAsia="Arial" w:hAnsi="Arial"/>
                  <w:sz w:val="17"/>
                  <w:szCs w:val="17"/>
                  <w:color w:val="0000EE"/>
                  <w:w w:val="97"/>
                </w:rPr>
                <w:t>Notes to Condensed Combined Financial Statements</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2">
              <w:r>
                <w:rPr>
                  <w:rFonts w:ascii="Arial" w:cs="Arial" w:eastAsia="Arial" w:hAnsi="Arial"/>
                  <w:sz w:val="17"/>
                  <w:szCs w:val="17"/>
                  <w:color w:val="0000EE"/>
                </w:rPr>
                <w:t>F-37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ind w:right="2295"/>
              <w:spacing w:after="0"/>
              <w:rPr>
                <w:sz w:val="20"/>
                <w:szCs w:val="20"/>
                <w:color w:val="auto"/>
              </w:rPr>
            </w:pPr>
            <w:r>
              <w:rPr>
                <w:rFonts w:ascii="Arial" w:cs="Arial" w:eastAsia="Arial" w:hAnsi="Arial"/>
                <w:sz w:val="17"/>
                <w:szCs w:val="17"/>
                <w:color w:val="auto"/>
                <w:w w:val="93"/>
              </w:rPr>
              <w:t>F-1</w:t>
            </w:r>
          </w:p>
        </w:tc>
        <w:tc>
          <w:tcPr>
            <w:tcW w:w="1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Abbott Laboratories: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We have audited the accompanying combined balance sheets of the Research-Based Pharmaceuticals Business of Abbott Laboratories ("AbbVie" or the "Company") as of December 31, 2011 and 2010, and the related combined statements of earnings, comprehensive income, investment in AbbVie, and cash flows for each of the three years in the period ended December 31, 2011. These combined financial statements are the responsibility of the Company's management. Our responsibility is to express an opinion on these combined financial statements based on our audits.</w:t>
      </w:r>
    </w:p>
    <w:p>
      <w:pPr>
        <w:spacing w:after="0" w:line="169"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 our opinion, such combined financial statements present fairly, in all material respects, the financial position of the Company as of December 31, 2011 and 2010, and the results of its operations and its cash flows for each of the three years in the period ended December 31, 2011 in conformity with accounting principles generally accepted in the United States of America.</w:t>
      </w:r>
    </w:p>
    <w:p>
      <w:pPr>
        <w:spacing w:after="0" w:line="17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described in Note 1, the accompanying combined financial statements have been derived from the consolidated financial statements and accounting records of Abbott Laboratories. The combined financial statements also include expense allocations for certain corporate functions historically provided by Abbott Laboratories. These allocations may not be reflective of the actual expense which would have been incurred had the Company operated as a separate entity apart from Abbott Laboratories.</w:t>
      </w:r>
    </w:p>
    <w:p>
      <w:pPr>
        <w:spacing w:after="0" w:line="200" w:lineRule="exact"/>
        <w:rPr>
          <w:sz w:val="20"/>
          <w:szCs w:val="20"/>
          <w:color w:val="auto"/>
        </w:rPr>
      </w:pP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 Deloitte &amp; Touche LLP</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Chicago, Illinois</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June 4, 2012</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Earnings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17,443,951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15,637,731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14,214,196</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4,639,393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4,292,989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4,056,390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2,617,506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2,494,598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1,707,440</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672,500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5,893,820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3,820,161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3,348,572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13,823,219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10,920,948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9,282,402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3,620,732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4,716,783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4,931,794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(30,137)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(29,764)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18,958</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(17,658)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(88,950)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(1,037,481)</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3,668,527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4,835,497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5,950,317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235,399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657,631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1,313,802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3,433,128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4,177,866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4,636,515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3,433,128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4,177,866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4,636,515</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(294,897)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(383,383)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actuarial (losses) and prior service cost and amortization of net actuarial losses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and prior service cost, net of taxes of $(11,590) in 2011, $(2,303) in 2010 and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$(7,715) in 2009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(46,204)</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Arial" w:cs="Arial" w:eastAsia="Arial" w:hAnsi="Arial"/>
                <w:sz w:val="17"/>
                <w:szCs w:val="17"/>
                <w:color w:val="auto"/>
                <w:w w:val="98"/>
              </w:rPr>
              <w:t>Unrealized gains on marketable equity securities, net of taxes of $9,773 in 2011,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$4,182 in 2010 and $336 in 2009</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16,929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Net adjustments for derivative instruments designated as cash flow hedges, net of</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taxes of $(8,279) in 2011 and $10,445 in 2010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(28,354)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28,380</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(313,455)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(393,217)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3,119,673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3,784,649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4,843,618</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w w:val="93"/>
              </w:rPr>
              <w:t>Supplemental Accumulated Other Comprehensive Income (Loss) Information, net of</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tax as of 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foreign currency translation (gain)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(303,333)</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65,201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58,068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(5,235)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(33,589)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Cash Flows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3,433,128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507,915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476,020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325,281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764,279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372,211</w:t>
            </w:r>
          </w:p>
        </w:tc>
        <w:tc>
          <w:tcPr>
            <w:tcW w:w="0" w:type="dxa"/>
            <w:vAlign w:val="bottom"/>
          </w:tcPr>
          <w:p>
            <w:pPr>
              <w:spacing w:after="0"/>
              <w:rPr>
                <w:sz w:val="1"/>
                <w:szCs w:val="1"/>
                <w:color w:val="auto"/>
              </w:rPr>
            </w:pPr>
          </w:p>
        </w:tc>
      </w:tr>
      <w:tr>
        <w:trPr>
          <w:trHeight w:val="201"/>
        </w:trPr>
        <w:tc>
          <w:tcPr>
            <w:tcW w:w="5820" w:type="dxa"/>
            <w:vAlign w:val="bottom"/>
          </w:tcPr>
          <w:p>
            <w:pPr>
              <w:ind w:left="20"/>
              <w:spacing w:after="0"/>
              <w:rPr>
                <w:sz w:val="20"/>
                <w:szCs w:val="20"/>
                <w:color w:val="auto"/>
              </w:rPr>
            </w:pPr>
            <w:r>
              <w:rPr>
                <w:rFonts w:ascii="Arial" w:cs="Arial" w:eastAsia="Arial" w:hAnsi="Arial"/>
                <w:sz w:val="17"/>
                <w:szCs w:val="17"/>
                <w:color w:val="auto"/>
                <w:w w:val="96"/>
              </w:rPr>
              <w:t>Derecognition of a contingent liability associated with the conclusion of the TAP</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180"/>
              <w:spacing w:after="0"/>
              <w:rPr>
                <w:sz w:val="20"/>
                <w:szCs w:val="20"/>
                <w:color w:val="auto"/>
              </w:rPr>
            </w:pPr>
            <w:r>
              <w:rPr>
                <w:rFonts w:ascii="Arial" w:cs="Arial" w:eastAsia="Arial" w:hAnsi="Arial"/>
                <w:sz w:val="17"/>
                <w:szCs w:val="17"/>
                <w:color w:val="auto"/>
              </w:rPr>
              <w:t>Pharmaceutical Products Inc. joint venture</w:t>
            </w: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(797,130)</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162,976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156,718</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672,500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(497,739)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(60,128)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(322,193)</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(87,602)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(73,327)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165,347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(37,823)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450,263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Trade accounts payable and other liabilities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1,497,147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(694,737)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210,324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6,246,960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4,976,162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5,367,336</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 net of cash acquired</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(272,500)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(2,621,307)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(355,515)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(448,141)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(312,565)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(deposit of) restricted funds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(1,870,000)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(1,943,258)</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(93,633)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of investment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1,254,931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(Used in) Investing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(5,031,764)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(486,355)</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Financing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(21,086)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(34,766)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(6,761,935)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97,291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(4,846,385)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(6,783,021)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(4,881,151)</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9,607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End of Year</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Balance Sheet</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ind w:lef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18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626,099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1,131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funds, primarily U.S. treasury bills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1,872,490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receivables, less allowances of—2011: $160,832; 2010: $153,710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3,817,486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3,373,104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160"/>
              <w:spacing w:after="0"/>
              <w:rPr>
                <w:sz w:val="20"/>
                <w:szCs w:val="20"/>
                <w:color w:val="auto"/>
              </w:rPr>
            </w:pPr>
            <w:r>
              <w:rPr>
                <w:rFonts w:ascii="Arial" w:cs="Arial" w:eastAsia="Arial" w:hAnsi="Arial"/>
                <w:sz w:val="17"/>
                <w:szCs w:val="17"/>
                <w:color w:val="auto"/>
              </w:rPr>
              <w:t>Finished products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428,286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439,877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Work in process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223,930</w:t>
            </w:r>
          </w:p>
        </w:tc>
        <w:tc>
          <w:tcPr>
            <w:tcW w:w="0" w:type="dxa"/>
            <w:vAlign w:val="bottom"/>
          </w:tcPr>
          <w:p>
            <w:pPr>
              <w:spacing w:after="0"/>
              <w:rPr>
                <w:sz w:val="1"/>
                <w:szCs w:val="1"/>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7"/>
                <w:szCs w:val="17"/>
                <w:color w:val="auto"/>
              </w:rPr>
              <w:t>Materials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236,067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172,463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inventories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836,270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1,468,794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1,636,811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489,043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8,218,493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229,342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137,360</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109,478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1,304,630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1,338,983</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4,331,083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4,382,678</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205,644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270,787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6,101,926</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3,803,510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3,744,363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Property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2,357,563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Intangible Assets, net of amortization</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2,910,167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3,691,178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6,099,652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6,197,182</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919,650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532,929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19,657,166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21,134,705</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1280"/>
              <w:spacing w:after="0"/>
              <w:rPr>
                <w:sz w:val="20"/>
                <w:szCs w:val="20"/>
                <w:color w:val="auto"/>
              </w:rPr>
            </w:pPr>
            <w:r>
              <w:rPr>
                <w:rFonts w:ascii="Arial" w:cs="Arial" w:eastAsia="Arial" w:hAnsi="Arial"/>
                <w:sz w:val="17"/>
                <w:szCs w:val="17"/>
                <w:b w:val="1"/>
                <w:bCs w:val="1"/>
                <w:color w:val="auto"/>
              </w:rPr>
              <w:t>Liabilities and Net Parent Company Investment in AbbVie</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417,030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356,784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441,842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1,536,826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1,406,516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3,507,858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1,556,106</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1,670,458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12,248,879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15,414,710</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(25,166)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288,289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Parent Company Equity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12,223,713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15,702,999</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19,657,166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21,134,705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Investment in AbbVie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11,500,358</w:t>
            </w: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3,433,128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(6,598,959)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(4,689,667)</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(313,455)</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(393,217)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207,103</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r>
      <w:tr>
        <w:trPr>
          <w:trHeight w:val="26"/>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w:t>
      </w:r>
    </w:p>
    <w:p>
      <w:pPr>
        <w:spacing w:after="0" w:line="188"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accompanying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79"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 securities and restricted funds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 is recorded. The total net effect of the settlement of these intercompany transactions is reflected in the combined statement of cash flow as a financing activity and in the combined balance sheet as Net parent company investment in AbbVie.</w:t>
      </w:r>
    </w:p>
    <w:p>
      <w:pPr>
        <w:spacing w:after="0" w:line="176"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AbbVie's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7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combined balance sheet does not include any equity related to stock-based compensation plans or any net benefit plan obligations unless the benefit plan covers only active and inactive AbbVie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employees. See Note 8 and Note 6 for a further description of the accounting for stock-based compensation and benefit plans.</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228" w:lineRule="exact"/>
        <w:rPr>
          <w:sz w:val="20"/>
          <w:szCs w:val="20"/>
          <w:color w:val="auto"/>
        </w:rPr>
      </w:pPr>
    </w:p>
    <w:p>
      <w:pPr>
        <w:ind w:right="260" w:firstLine="341"/>
        <w:spacing w:after="0" w:line="311" w:lineRule="auto"/>
        <w:rPr>
          <w:sz w:val="20"/>
          <w:szCs w:val="20"/>
          <w:color w:val="auto"/>
        </w:rPr>
      </w:pPr>
      <w:r>
        <w:rPr>
          <w:rFonts w:ascii="Arial" w:cs="Arial" w:eastAsia="Arial" w:hAnsi="Arial"/>
          <w:sz w:val="15"/>
          <w:szCs w:val="15"/>
          <w:color w:val="auto"/>
        </w:rPr>
        <w:t>CONCENTRATION OF RISK—Due to the nature of its operations, AbbVie is not subject to significant concentration risks relating to customers, products or geographic locations, except that three U.S. wholesalers accounted for 43 percent and 46 percent of total net trade receivables as of December 31, 2011 and 2010, respectively, and substantially all of AbbVie's U.S. sales are to these three wholesalers. In addition, governmental accounts in Greece, Portugal, Italy and Spain accounted for 30 percent and 26 percent of total net trade receivables as of December 31, 2011 and 2010, respectively. Product warranties are not significant.</w:t>
      </w:r>
    </w:p>
    <w:p>
      <w:pPr>
        <w:spacing w:after="0" w:line="155" w:lineRule="exact"/>
        <w:rPr>
          <w:sz w:val="20"/>
          <w:szCs w:val="20"/>
          <w:color w:val="auto"/>
        </w:rPr>
      </w:pPr>
    </w:p>
    <w:p>
      <w:pPr>
        <w:ind w:right="120" w:firstLine="341"/>
        <w:spacing w:after="0" w:line="315" w:lineRule="auto"/>
        <w:rPr>
          <w:sz w:val="20"/>
          <w:szCs w:val="20"/>
          <w:color w:val="auto"/>
        </w:rPr>
      </w:pPr>
      <w:r>
        <w:rPr>
          <w:rFonts w:ascii="Arial" w:cs="Arial" w:eastAsia="Arial" w:hAnsi="Arial"/>
          <w:sz w:val="16"/>
          <w:szCs w:val="16"/>
          <w:color w:val="auto"/>
        </w:rPr>
        <w:t>CONTINGENCIES AND GUARANTEES—In connection with the distribution, AbbVie will indemnify Abbott for all liabilities resulting from the operation of AbbVie's business other than income tax liabilities with respect to periods prior to the distribution date and other liabilities as agreed to by AbbVie and Abbott.</w:t>
      </w:r>
    </w:p>
    <w:p>
      <w:pPr>
        <w:spacing w:after="0" w:line="146"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AbbVie has no material exposures to off-balance sheet arrangements; no special purpose entities; nor activities that include non-exchange-traded contracts accounted for at fair value. AbbVie has periodically entered into agreements in the ordinary course of business, such as assignment of product rights, with other companies which has resulted in AbbVie becoming secondarily liable for obligations that AbbVie was previously primarily liable. Since AbbVie no longer maintains a business relationship with the other parties, AbbVie is unable to develop an estimate of the maximum potential amount of future payments, if any, under these obligations. Based upon past experience, the likelihood of payments under these agreements is remote. AbbVie periodically acquires a business or product rights in which AbbVie agrees to pay contingent consideration based on attaining certain thresholds or based on the occurrence of certain events.</w:t>
      </w:r>
    </w:p>
    <w:p>
      <w:pPr>
        <w:spacing w:after="0" w:line="176"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USE OF ESTIMATES—The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benefits, valuation of intangible assets, including goodwill, litigation, derivative financial instruments, and inventory and accounts receivable exposures.</w:t>
      </w:r>
    </w:p>
    <w:p>
      <w:pPr>
        <w:spacing w:after="0" w:line="185"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REVENUE RECOGNITION—AbbVie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 Provisions for discounts, rebates and sales incentives to customers,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Sales of product rights for marketable products are recorded as revenue upon disposition of the rights.</w:t>
      </w:r>
    </w:p>
    <w:p>
      <w:pPr>
        <w:spacing w:after="0" w:line="187"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INCOME TAXES—In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Deferred income taxes are provided for the tax effect of temporary differences between the tax bases of assets and liabilities and their reported amounts in the financial statements at the enacted statutory rate to be in effect when the taxes are paid.</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PENSION AND POST-EMPLOYMENT BENEFITS—Abbott provides pension and post-employment health care benefits to many AbbVie employees. These plans are accounted for as multiemployer benefit plans and are not reflected in AbbVie's combined balance sheets. At the separation date, AbbVie expects to record the net benefit plan obligations transferred from Abbott. AbbVie's combined statements of earnings include expense allocations for these benefits. These expenses were funded through intercompany transactions with Abbott which are reflected within Net parent company investment in AbbVie.</w:t>
      </w:r>
    </w:p>
    <w:p>
      <w:pPr>
        <w:spacing w:after="0" w:line="169"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AbbVie's direct obligations and have been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FAIR VALUE MEASUREMENTS—For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80"/>
        <w:spacing w:after="0" w:line="306" w:lineRule="auto"/>
        <w:rPr>
          <w:sz w:val="20"/>
          <w:szCs w:val="20"/>
          <w:color w:val="auto"/>
        </w:rPr>
      </w:pPr>
      <w:r>
        <w:rPr>
          <w:rFonts w:ascii="Arial" w:cs="Arial" w:eastAsia="Arial" w:hAnsi="Arial"/>
          <w:sz w:val="15"/>
          <w:szCs w:val="15"/>
          <w:color w:val="auto"/>
        </w:rPr>
        <w:t>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AbbVie uses a discounted cash flow model to value intangible assets. The discounted cash flow model requires assumptions about the timing and amount of future net cash flows, risk, the cost of capital, terminal values and market participants. AbbVie reviews the recoverability of definite-lived intangible assets each quarter using an undiscounted net cash flow approach. Impairment reviews are performed for goodwill and indefinite-lived intangible assets on at least an annual basis.</w:t>
      </w:r>
    </w:p>
    <w:p>
      <w:pPr>
        <w:spacing w:after="0" w:line="159"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SHARE-BASED COMPENSATION—Abbott maintains an incentive stock program for the benefit of its officers, directors, and certain employees, including certain AbbVie employees. The value of stock options and restricted stock awards and units are amortized over their service period, which could be shorter than the vesting period if an employee is retirement eligible, with a charge to compensation expense.</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LITIGATION—AbbVie accounts for litigation losses in accordance with FASB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179"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CASH, CASH EQUIVALENTS AND INVESTMENTS—Cash equivalents consist of time deposits and certificates of deposit with original maturities of three months or less. Investments in marketable equity securities are classified as available-for-sale and are recorded at fair value with any unrealized holding gains or losses, net of tax, included in Accumulated other comprehensive income (loss). Investments in equity securities that are not traded on public stock exchanges are recorded at cost.</w:t>
      </w:r>
    </w:p>
    <w:p>
      <w:pPr>
        <w:spacing w:after="0" w:line="185"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reviews the carrying value of investments each quarter to determine whether an other than temporary decline in market value exists. AbbVie considers factors affecting the investee, factors affecting the industry the investee operates in and general equity market trends. AbbVie considers the length of time an investment's market value has been below cost and the near-term prospects for recovery. When AbbVie determines that an other than temporary decline has occurred, the cost basis investment is written down with a charge to income and the available-for-sale securities' unrealized loss is recognized as a charge to income and removed from Accumulated other comprehensive income (loss).</w:t>
      </w:r>
    </w:p>
    <w:p>
      <w:pPr>
        <w:spacing w:after="0" w:line="187"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TRADE RECEIVABLE VALUATIONS—Accounts receivable are stated at their net realizable value. The allowance against gross trade receivables reflects the best estimate of probable losses inherent in the receivables portfolio determined on the basis of historical experience, specific allowances for known troubled accounts and other currently available information. Accounts receivable are charged off after all reasonable means to collect the full amount (including litigation, where appropriate) have been exhausted.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INVENTORIES—Inventories are stated at the lower of cost (first-in, first-out basis) or market. Cost includes material and conversion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PROPERTY AND EQUIPMENT—Depreciation and amortization are provided on a straight-line basis over the estimated useful lives of the assets. The following table shows estimated useful lives of property and equipment: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Classification</w:t>
            </w:r>
          </w:p>
        </w:tc>
        <w:tc>
          <w:tcPr>
            <w:tcW w:w="4700" w:type="dxa"/>
            <w:vAlign w:val="bottom"/>
          </w:tcPr>
          <w:p>
            <w:pPr>
              <w:spacing w:after="0"/>
              <w:rPr>
                <w:sz w:val="13"/>
                <w:szCs w:val="13"/>
                <w:color w:val="auto"/>
              </w:rPr>
            </w:pPr>
          </w:p>
        </w:tc>
        <w:tc>
          <w:tcPr>
            <w:tcW w:w="2460" w:type="dxa"/>
            <w:vAlign w:val="bottom"/>
            <w:gridSpan w:val="2"/>
          </w:tcPr>
          <w:p>
            <w:pPr>
              <w:ind w:left="580"/>
              <w:spacing w:after="0"/>
              <w:rPr>
                <w:sz w:val="20"/>
                <w:szCs w:val="20"/>
                <w:color w:val="auto"/>
              </w:rPr>
            </w:pPr>
            <w:r>
              <w:rPr>
                <w:rFonts w:ascii="Arial" w:cs="Arial" w:eastAsia="Arial" w:hAnsi="Arial"/>
                <w:sz w:val="13"/>
                <w:szCs w:val="13"/>
                <w:b w:val="1"/>
                <w:bCs w:val="1"/>
                <w:color w:val="auto"/>
              </w:rPr>
              <w:t>Estimated Useful Lives</w:t>
            </w: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470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 to 66 years (average 25 years)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w w:val="98"/>
              </w:rPr>
              <w:t>Equipment</w:t>
            </w:r>
          </w:p>
        </w:tc>
        <w:tc>
          <w:tcPr>
            <w:tcW w:w="47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w w:val="98"/>
              </w:rPr>
              <w:t>5 to 35 years (average 10 years)</w:t>
            </w:r>
          </w:p>
        </w:tc>
        <w:tc>
          <w:tcPr>
            <w:tcW w:w="20" w:type="dxa"/>
            <w:vAlign w:val="bottom"/>
          </w:tcPr>
          <w:p>
            <w:pPr>
              <w:spacing w:after="0"/>
              <w:rPr>
                <w:sz w:val="18"/>
                <w:szCs w:val="18"/>
                <w:color w:val="auto"/>
              </w:rPr>
            </w:pPr>
          </w:p>
        </w:tc>
      </w:tr>
    </w:tbl>
    <w:p>
      <w:pPr>
        <w:spacing w:after="0" w:line="195"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PRODUCT LIABILITY—AbbVie accrues for product liability claims, on an undiscounted basis, when it is probable that a liability has been incurred and the amount of the liability can be reasonably estimated based on existing information. The liabilities are adjusted quarterly as additional information becomes available. Receivables for insurance recoveries for product liability claims are recorded as assets, on an undiscounted basis, when it is probable that a recovery will be realized. Product liability losses are self-insured.</w:t>
      </w:r>
    </w:p>
    <w:p>
      <w:pPr>
        <w:spacing w:after="0" w:line="18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RESEARCH AND DEVELOPMENT COSTS—Internal research and development costs are expensed as incurred. Clinical trial costs incurred by third parties are expensed as the contracted work is performed. Where contingent milestone payments are due to third parties under research and development collaborations for pre-commercialization milestones, the milestone payment obligations are expensed when the milestone results are achieved.</w:t>
      </w:r>
    </w:p>
    <w:p>
      <w:pPr>
        <w:spacing w:after="0" w:line="163" w:lineRule="exact"/>
        <w:rPr>
          <w:sz w:val="20"/>
          <w:szCs w:val="20"/>
          <w:color w:val="auto"/>
        </w:rPr>
      </w:pPr>
    </w:p>
    <w:p>
      <w:pPr>
        <w:ind w:right="60" w:firstLine="332"/>
        <w:spacing w:after="0" w:line="287" w:lineRule="auto"/>
        <w:rPr>
          <w:sz w:val="20"/>
          <w:szCs w:val="20"/>
          <w:color w:val="auto"/>
        </w:rPr>
      </w:pPr>
      <w:r>
        <w:rPr>
          <w:rFonts w:ascii="Arial" w:cs="Arial" w:eastAsia="Arial" w:hAnsi="Arial"/>
          <w:sz w:val="16"/>
          <w:szCs w:val="16"/>
          <w:color w:val="auto"/>
        </w:rPr>
        <w:t>ACQUIRED IN-PROCESS AND COLLABORATIONS RESEARCH AND DEVELOPMENT (IPR&amp;D)—The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products. The fair value of IPR&amp;D projects acquired in a business combination are capitalized and accounted for as indefinite-lived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judgment entered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Other (income) expense, net, for 2011 includes $56 million of fair value adjustments and accretion in the contingent consideration related to the acquisition of Solvay's U.S. pharmaceuticals business. Other (income) expense, net, for 2009 includes the derecognition of a contingent liability of $797 million associated with the conclusion of the TAP Pharmaceutical Products Inc. joint venture.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(income) expense, net, for 2011, 2010 and 2009 also includes ongoing contractual payments from Takeda associated with the conclusion of the TAP joint venture.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were $375 million, $290 million and $205 million in 2011, 2010 and 2009.</w:t>
      </w:r>
    </w:p>
    <w:p>
      <w:pPr>
        <w:spacing w:after="0" w:line="218" w:lineRule="exact"/>
        <w:rPr>
          <w:sz w:val="20"/>
          <w:szCs w:val="20"/>
          <w:color w:val="auto"/>
        </w:rPr>
      </w:pPr>
    </w:p>
    <w:p>
      <w:pPr>
        <w:ind w:right="180" w:firstLine="341"/>
        <w:spacing w:after="0" w:line="306" w:lineRule="auto"/>
        <w:rPr>
          <w:sz w:val="20"/>
          <w:szCs w:val="20"/>
          <w:color w:val="auto"/>
        </w:rPr>
      </w:pPr>
      <w:r>
        <w:rPr>
          <w:rFonts w:ascii="Arial" w:cs="Arial" w:eastAsia="Arial" w:hAnsi="Arial"/>
          <w:sz w:val="15"/>
          <w:szCs w:val="15"/>
          <w:color w:val="auto"/>
        </w:rPr>
        <w:t>Other accrued liabilities as of December 31, 2011 includes $1.5 billion related to a government investigation, $400 million for acquired in-process research and development and $417 million for royalties. Other accrued liabilities as of December 31, 2010 includes $358 million for royalties. Accrued wholesaler chargeback rebates of $171 million and $154 million at December 31, 2011 and 2010 respectively, are netted in trade receivables because AbbVie's customers are invoiced at a higher catalog price but only remit to AbbVie their contract price for the products. Long-term liabilities as of December 31, 2011 and 2010 includes deferred income taxes of $490 million and $485 million, respectively, and defined benefit pension plan liabilities of $397 million and $414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w:t>
      </w:r>
    </w:p>
    <w:p>
      <w:pPr>
        <w:spacing w:after="0" w:line="228"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and Abbott will enter into a tax sharing agreement prior to or concurrently with the separation of the two companies.</w:t>
      </w:r>
    </w:p>
    <w:p>
      <w:pPr>
        <w:spacing w:after="0" w:line="224"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 U.S. income taxes are provided on those earnings of foreign subsidiaries which are intended to be remitted to the parent company. AbbVie does not record deferred income taxes on earnings reinvested indefinitely in foreign subsidiaries as working capital and plant and equipment. It is not practicable to determine the amount of deferred income taxes not provided on these earnings.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before taxes, and the related provisions for taxes on earnings,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Domestic</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626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2,080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3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gridSpan w:val="2"/>
          </w:tcPr>
          <w:p>
            <w:pPr>
              <w:jc w:val="right"/>
              <w:ind w:right="1595"/>
              <w:spacing w:after="0"/>
              <w:rPr>
                <w:sz w:val="20"/>
                <w:szCs w:val="20"/>
                <w:color w:val="auto"/>
              </w:rPr>
            </w:pPr>
            <w:r>
              <w:rPr>
                <w:rFonts w:ascii="Arial" w:cs="Arial" w:eastAsia="Arial" w:hAnsi="Arial"/>
                <w:sz w:val="17"/>
                <w:szCs w:val="17"/>
                <w:color w:val="auto"/>
              </w:rPr>
              <w:t>F-13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9"/>
          </w:tcPr>
          <w:p>
            <w:pPr>
              <w:spacing w:after="0" w:line="138" w:lineRule="exact"/>
              <w:rPr>
                <w:sz w:val="20"/>
                <w:szCs w:val="20"/>
                <w:color w:val="auto"/>
              </w:rPr>
            </w:pPr>
            <w:r>
              <w:rPr>
                <w:rFonts w:ascii="Arial" w:cs="Arial" w:eastAsia="Arial" w:hAnsi="Arial"/>
                <w:sz w:val="13"/>
                <w:szCs w:val="13"/>
                <w:b w:val="1"/>
                <w:bCs w:val="1"/>
                <w:color w:val="auto"/>
                <w:w w:val="88"/>
              </w:rPr>
              <w:t>(dollars in millions)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Taxes on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177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390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567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1,395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w w:val="90"/>
              </w:rPr>
              <w:t>(134)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(332)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7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235</w:t>
            </w:r>
          </w:p>
        </w:tc>
        <w:tc>
          <w:tcPr>
            <w:tcW w:w="1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7"/>
                <w:szCs w:val="17"/>
                <w:color w:val="auto"/>
                <w:w w:val="98"/>
              </w:rPr>
              <w:t>Differences between the effective income tax rate and the U.S. statutory tax rate were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Statutory tax rate on earnings</w:t>
            </w:r>
          </w:p>
        </w:tc>
        <w:tc>
          <w:tcPr>
            <w:tcW w:w="1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Benefit of lower tax rates and tax exemptions, primarily in Puerto Rico</w:t>
            </w:r>
          </w:p>
        </w:tc>
        <w:tc>
          <w:tcPr>
            <w:tcW w:w="10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7"/>
                <w:szCs w:val="17"/>
                <w:color w:val="auto"/>
              </w:rPr>
              <w:t>(25.4)</w:t>
            </w: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Resolution of certain tax positions pertaining to prior years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Effect of non-deductible litigation loss accrual</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Puerto Rico excise tax credit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All other, net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Effective tax rate on earnings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rPr>
              <w:t>6.4%</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13.6%</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As of December 31, 2011 and 2010, total deferred tax assets were $2.6 billion and $2.7 billion, respectively, and total deferred tax liabilities were $717 million and $1.1 billion, respectively. AbbVie has incurred losses in a foreign jurisdiction where realization of the future economic benefit is so remote that the benefit is not reflected as a deferred tax asset. Valuation allowances for recorded</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were not significant. The tax effect of the differences that give rise to deferred tax assets and liabilities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40"/>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Trade receivable reserves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Deferred intercompany profit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and other accruals and reserves not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currently deductible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Other, primarily the excess of book basis over tax basis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(691)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(1,085)</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r>
      <w:tr>
        <w:trPr>
          <w:trHeight w:val="13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Increase due to current year tax positions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Increase due to prior year tax positions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Decrease due to current year tax positions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Decrease due to prior year tax positions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total amount of unrecognized tax benefits that, if recognized, would impact the effective tax rate is approximately $931 million. AbbVie believes that it is reasonably possible that the recorded amount of gross unrecognized tax benefits may decrease by up to $250 million, including cash adjustments, within the next twelve months as a result of concluding various domestic and international tax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w:t>
      </w:r>
    </w:p>
    <w:p>
      <w:pPr>
        <w:spacing w:after="0" w:line="228" w:lineRule="exact"/>
        <w:rPr>
          <w:sz w:val="20"/>
          <w:szCs w:val="20"/>
          <w:color w:val="auto"/>
        </w:rPr>
      </w:pPr>
    </w:p>
    <w:p>
      <w:pPr>
        <w:ind w:right="280" w:firstLine="338"/>
        <w:spacing w:after="0" w:line="322" w:lineRule="auto"/>
        <w:rPr>
          <w:sz w:val="20"/>
          <w:szCs w:val="20"/>
          <w:color w:val="auto"/>
        </w:rPr>
      </w:pPr>
      <w:r>
        <w:rPr>
          <w:rFonts w:ascii="Arial" w:cs="Arial" w:eastAsia="Arial" w:hAnsi="Arial"/>
          <w:sz w:val="15"/>
          <w:szCs w:val="15"/>
          <w:color w:val="auto"/>
        </w:rPr>
        <w:t>There are a number of patent disputes with third parties who claim AbbVie's products infringe their patents. On February 21, 2012, the United States Supreme Court denied Centocor Inc.'s and New York University's s petition to review a February 2011 Federal Circuit Court of Appeals decision reversing a $1.67 billion judgment in favor of Centocor and the New York University on a patent they claimed AbbVie's HUMIRA infringed. This decision concludes the case.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 (Continued)</w:t>
      </w:r>
    </w:p>
    <w:p>
      <w:pPr>
        <w:spacing w:after="0" w:line="228" w:lineRule="exact"/>
        <w:rPr>
          <w:sz w:val="20"/>
          <w:szCs w:val="20"/>
          <w:color w:val="auto"/>
        </w:rPr>
      </w:pPr>
    </w:p>
    <w:p>
      <w:pPr>
        <w:ind w:right="20" w:firstLine="338"/>
        <w:spacing w:after="0" w:line="260"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Discussions to resolve potential civil and criminal claims arising from this matter advanced to a point where AbbVie believed a loss was probable and estimable and therefore, AbbVie recorded charges of $1.5 billion in the third quarter of 2011 and $100 million in the first quarter of 2012.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w:t>
      </w:r>
    </w:p>
    <w:p>
      <w:pPr>
        <w:spacing w:after="0" w:line="192"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Within the next year, legal proceedings may occur that may result in a change in the estimated loss accrued by AbbVie. For its legal proceedings and exposures, AbbVie estimates the possible loss to be approximately $1.51 billion, which includes the $1.5 billion charge discussed above. The recorded accrual balance at December 31, 2011 for these proceedings and exposures was approximately $1.51 billion. This accrual represents management's best estimate of probable loss, as defined by FASB ASC No. 450, "Contingencies."</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While it is not feasible to predict the outcome of all such proceedings and exposures with certainty, management believes that their ultimate disposition should not have a material adverse effect on AbbVie's financial position, cash flows, or results of operations except for the federal government investigation discussed in the second paragraph of this footnote, the resolution of which is expected to be material to cash flows in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of Abbott Laboratories' other businesses. Such plans are accounted for as multiemployer plans. As a result, no asset or liability was recorded by AbbVie to recognize the funded status of these plans. AbbVie recorded expense of $150 million, $150 million and $86 million for the years ended December 31, 2011, 2010 and 2009, respectively, for Abbott's allocation of pension and other postretirement benefit costs related to AbbVie's employees. As of December 31, 2011 and 2010, there were no required contributions outstanding.</w:t>
      </w:r>
    </w:p>
    <w:p>
      <w:pPr>
        <w:spacing w:after="0" w:line="187" w:lineRule="exact"/>
        <w:rPr>
          <w:sz w:val="20"/>
          <w:szCs w:val="20"/>
          <w:color w:val="auto"/>
        </w:rPr>
      </w:pPr>
    </w:p>
    <w:p>
      <w:pPr>
        <w:ind w:right="80" w:firstLine="332"/>
        <w:spacing w:after="0" w:line="311" w:lineRule="auto"/>
        <w:rPr>
          <w:sz w:val="20"/>
          <w:szCs w:val="20"/>
          <w:color w:val="auto"/>
        </w:rPr>
      </w:pPr>
      <w:r>
        <w:rPr>
          <w:rFonts w:ascii="Arial" w:cs="Arial" w:eastAsia="Arial" w:hAnsi="Arial"/>
          <w:sz w:val="15"/>
          <w:szCs w:val="15"/>
          <w:color w:val="auto"/>
        </w:rPr>
        <w:t>As of December 31, 2011 and 2010, such multiemployer defined benefit pension plans were approximately 99 percent and 112 percent funded. The most significant shared defined benefit pension plan is the Abbott Laboratories Annuity Retirement Plan. AbbVie's active employees represent approximately 40 percent of total active participants in the Abbott Laboratories Annuity Retirement Plan. Abbott Laboratories made voluntary contributions to the Abbott Laboratories Annuity Retirement Plan of $200 million in both 2011 and 2010 and $700 million in 2009. Abbott Laboratories expects pension funding of $200 million in 2012.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of December 31, 2011 and 2010, the multiemployer plans covering other postretirement benefits were approximately 24 percent funded. The Abbott Laboratories Retiree Health Care Plan represents the most significant shared other post retirement benefits plan. The benefits accrued by AbbVie employees represent approximately 43 percent of the total liabilities of the Abbott Laboratories Retiree Health Care Plan. Abbott Laboratories made voluntary contributions to the Abbott Laboratories Retiree Health Care Plan of $40 million, $74 million and $71 million in 2011, 2010 and 2009, respectively. Abbott Laboratories expects funding of $40 million in 2012.</w:t>
      </w:r>
    </w:p>
    <w:p>
      <w:pPr>
        <w:spacing w:after="0" w:line="187" w:lineRule="exact"/>
        <w:rPr>
          <w:sz w:val="20"/>
          <w:szCs w:val="20"/>
          <w:color w:val="auto"/>
        </w:rPr>
      </w:pPr>
    </w:p>
    <w:p>
      <w:pPr>
        <w:ind w:right="180" w:firstLine="332"/>
        <w:spacing w:after="0" w:line="315" w:lineRule="auto"/>
        <w:rPr>
          <w:sz w:val="20"/>
          <w:szCs w:val="20"/>
          <w:color w:val="auto"/>
        </w:rPr>
      </w:pPr>
      <w:r>
        <w:rPr>
          <w:rFonts w:ascii="Arial" w:cs="Arial" w:eastAsia="Arial" w:hAnsi="Arial"/>
          <w:sz w:val="16"/>
          <w:szCs w:val="16"/>
          <w:color w:val="auto"/>
        </w:rPr>
        <w:t>AbbVie's employees also participate in the Abbott Laboratories Stock Retirement Plan which is Abbott's principal defined contribution plan. AbbVie recorded expense of $68 million, $65 million and $61 million for the years ended December 31, 2011, 2010 and 2009, respectively, related to this plan.</w:t>
      </w:r>
    </w:p>
    <w:p>
      <w:pPr>
        <w:spacing w:after="0" w:line="146"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provides certain other post-employment benefits, primarily salary continuation plans, to qualifying employees, and accrues for the related cost over the service lives of the employees.</w:t>
      </w:r>
    </w:p>
    <w:p>
      <w:pPr>
        <w:spacing w:after="0" w:line="170"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 and liabilities.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2" w:name="page253"/>
    <w:bookmarkEnd w:id="25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obligations,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Service cost—benefits earned during the year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w w:val="96"/>
              </w:rPr>
              <w:t>Losses (gains), primarily changes in discount rates, plan design changes and law</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Arial" w:cs="Arial" w:eastAsia="Arial" w:hAnsi="Arial"/>
                <w:sz w:val="17"/>
                <w:szCs w:val="17"/>
                <w:color w:val="auto"/>
              </w:rPr>
              <w:t>changes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Other, primarily foreign currency translation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Projected benefit obligations,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Plans' assets at fair value, January 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Actual return on plans' assets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Company contributions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Plans' assets at fair value,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obligations greater than plans' assets, December 31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Short-term liabilities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liability</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(445)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720" w:type="dxa"/>
            <w:vAlign w:val="bottom"/>
          </w:tcPr>
          <w:p>
            <w:pPr>
              <w:spacing w:after="0"/>
              <w:rPr>
                <w:sz w:val="15"/>
                <w:szCs w:val="15"/>
                <w:color w:val="auto"/>
              </w:rPr>
            </w:pPr>
          </w:p>
        </w:tc>
        <w:tc>
          <w:tcPr>
            <w:tcW w:w="59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Amounts Recognized in Accumulated Other Comprehensive Income (loss):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Prior service cost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900" w:type="dxa"/>
            <w:vAlign w:val="bottom"/>
            <w:vMerge w:val="restart"/>
          </w:tcPr>
          <w:p>
            <w:pPr>
              <w:ind w:left="3840"/>
              <w:spacing w:after="0"/>
              <w:rPr>
                <w:sz w:val="20"/>
                <w:szCs w:val="20"/>
                <w:color w:val="auto"/>
              </w:rPr>
            </w:pPr>
            <w:r>
              <w:rPr>
                <w:rFonts w:ascii="Arial" w:cs="Arial" w:eastAsia="Arial" w:hAnsi="Arial"/>
                <w:sz w:val="17"/>
                <w:szCs w:val="17"/>
                <w:color w:val="auto"/>
              </w:rPr>
              <w:t>F-18</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projected benefit obligations for non-U.S. defined benefit plans were $405 million, $422 million and $295 million at December 31, 2011, 2010 and 2009 respectively. Due to local regulations, AbbVie's non-U.S. defined benefit plans are not funded and benefit payments are funded from company assets. The accumulated benefit obligations for all defined benefit plans were $620 million, $608 million and $511 million at December 31, 2011, 2010 and 2009 respectively. The accumulated benefit obligations exceeded plan assets for all plans at December 31, 2011,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3"/>
                <w:szCs w:val="13"/>
                <w:b w:val="1"/>
                <w:bCs w:val="1"/>
                <w:color w:val="auto"/>
                <w:w w:val="89"/>
              </w:rPr>
              <w:t>Defined Benefit Plans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r>
      <w:tr>
        <w:trPr>
          <w:trHeight w:val="13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6"/>
          </w:tcPr>
          <w:p>
            <w:pPr>
              <w:jc w:val="center"/>
              <w:ind w:left="2"/>
              <w:spacing w:after="0" w:line="138" w:lineRule="exact"/>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16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200" w:type="dxa"/>
            <w:vAlign w:val="bottom"/>
          </w:tcPr>
          <w:p>
            <w:pPr>
              <w:spacing w:after="0"/>
              <w:rPr>
                <w:sz w:val="20"/>
                <w:szCs w:val="20"/>
                <w:color w:val="auto"/>
              </w:rPr>
            </w:pPr>
            <w:r>
              <w:rPr>
                <w:rFonts w:ascii="Arial" w:cs="Arial" w:eastAsia="Arial" w:hAnsi="Arial"/>
                <w:sz w:val="17"/>
                <w:szCs w:val="17"/>
                <w:color w:val="auto"/>
              </w:rPr>
              <w:t>Amortization of actuarial losses (gains)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shd w:val="clear" w:color="auto" w:fill="CCEEFF"/>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Other comprehensive income (loss) for 2011 includes amortization of actuarial losses and prior service cost of $2 million and net actuarial losses of $21 million. Other comprehensive income (loss) for 2010 includes amortization of actuarial losses and prior service cost of $1 million and net actuarial losses of $25 million. Other comprehensive income (loss) for 2009 includes amortization of actuarial (gains) and prior service cost of $1 million and net actuarial losses of $53 million. The pretax amount of actuarial losses and prior service cost included in Accumulated other comprehensive income (loss) at December 31, 2011 that is expected to be recognized in the net periodic benefit cost in 2012 is $4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benefit obligations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720" w:type="dxa"/>
            <w:vAlign w:val="bottom"/>
          </w:tcPr>
          <w:p>
            <w:pPr>
              <w:spacing w:after="0"/>
              <w:rPr>
                <w:sz w:val="18"/>
                <w:szCs w:val="18"/>
                <w:color w:val="auto"/>
              </w:rPr>
            </w:pPr>
          </w:p>
        </w:tc>
      </w:tr>
      <w:tr>
        <w:trPr>
          <w:trHeight w:val="411"/>
        </w:trPr>
        <w:tc>
          <w:tcPr>
            <w:tcW w:w="7980" w:type="dxa"/>
            <w:vAlign w:val="bottom"/>
            <w:gridSpan w:val="2"/>
          </w:tcPr>
          <w:p>
            <w:pPr>
              <w:ind w:left="340"/>
              <w:spacing w:after="0"/>
              <w:rPr>
                <w:sz w:val="20"/>
                <w:szCs w:val="20"/>
                <w:color w:val="auto"/>
              </w:rPr>
            </w:pPr>
            <w:r>
              <w:rPr>
                <w:rFonts w:ascii="Arial" w:cs="Arial" w:eastAsia="Arial" w:hAnsi="Arial"/>
                <w:sz w:val="17"/>
                <w:szCs w:val="17"/>
                <w:color w:val="auto"/>
              </w:rPr>
              <w:t>The weighted average assumptions used to determine the net cost are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6260" w:type="dxa"/>
            <w:vAlign w:val="bottom"/>
          </w:tcPr>
          <w:p>
            <w:pPr>
              <w:ind w:left="3840"/>
              <w:spacing w:after="0"/>
              <w:rPr>
                <w:sz w:val="20"/>
                <w:szCs w:val="20"/>
                <w:color w:val="auto"/>
              </w:rPr>
            </w:pPr>
            <w:r>
              <w:rPr>
                <w:rFonts w:ascii="Arial" w:cs="Arial" w:eastAsia="Arial" w:hAnsi="Arial"/>
                <w:sz w:val="17"/>
                <w:szCs w:val="17"/>
                <w:color w:val="auto"/>
              </w:rPr>
              <w:t>F-19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defined benefit plans' assets at fair value: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rPr>
              <w:t>Basis of Fair Value Measurement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74"/>
              <w:spacing w:after="0" w:line="124" w:lineRule="exact"/>
              <w:rPr>
                <w:sz w:val="20"/>
                <w:szCs w:val="20"/>
                <w:color w:val="auto"/>
              </w:rPr>
            </w:pPr>
            <w:r>
              <w:rPr>
                <w:rFonts w:ascii="Arial" w:cs="Arial" w:eastAsia="Arial" w:hAnsi="Arial"/>
                <w:sz w:val="13"/>
                <w:szCs w:val="13"/>
                <w:b w:val="1"/>
                <w:bCs w:val="1"/>
                <w:color w:val="auto"/>
                <w:w w:val="92"/>
              </w:rPr>
              <w:t>Quoted</w:t>
            </w:r>
          </w:p>
        </w:tc>
        <w:tc>
          <w:tcPr>
            <w:tcW w:w="106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Significant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Prices in</w:t>
            </w:r>
          </w:p>
        </w:tc>
        <w:tc>
          <w:tcPr>
            <w:tcW w:w="640" w:type="dxa"/>
            <w:vAlign w:val="bottom"/>
          </w:tcPr>
          <w:p>
            <w:pPr>
              <w:jc w:val="center"/>
              <w:ind w:left="203"/>
              <w:spacing w:after="0" w:line="144"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220"/>
              <w:spacing w:after="0" w:line="144" w:lineRule="exact"/>
              <w:rPr>
                <w:sz w:val="20"/>
                <w:szCs w:val="20"/>
                <w:color w:val="auto"/>
              </w:rPr>
            </w:pPr>
            <w:r>
              <w:rPr>
                <w:rFonts w:ascii="Arial" w:cs="Arial" w:eastAsia="Arial" w:hAnsi="Arial"/>
                <w:sz w:val="13"/>
                <w:szCs w:val="13"/>
                <w:b w:val="1"/>
                <w:bCs w:val="1"/>
                <w:color w:val="auto"/>
                <w:w w:val="90"/>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2"/>
                <w:szCs w:val="12"/>
                <w:color w:val="auto"/>
              </w:rPr>
            </w:pPr>
          </w:p>
        </w:tc>
        <w:tc>
          <w:tcPr>
            <w:tcW w:w="720" w:type="dxa"/>
            <w:vAlign w:val="bottom"/>
            <w:gridSpan w:val="2"/>
          </w:tcPr>
          <w:p>
            <w:pPr>
              <w:jc w:val="center"/>
              <w:ind w:right="274"/>
              <w:spacing w:after="0" w:line="144" w:lineRule="exact"/>
              <w:rPr>
                <w:sz w:val="20"/>
                <w:szCs w:val="20"/>
                <w:color w:val="auto"/>
              </w:rPr>
            </w:pPr>
            <w:r>
              <w:rPr>
                <w:rFonts w:ascii="Arial" w:cs="Arial" w:eastAsia="Arial" w:hAnsi="Arial"/>
                <w:sz w:val="13"/>
                <w:szCs w:val="13"/>
                <w:b w:val="1"/>
                <w:bCs w:val="1"/>
                <w:color w:val="auto"/>
                <w:w w:val="87"/>
              </w:rPr>
              <w:t>Active</w:t>
            </w:r>
          </w:p>
        </w:tc>
        <w:tc>
          <w:tcPr>
            <w:tcW w:w="106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Observable</w:t>
            </w:r>
          </w:p>
        </w:tc>
        <w:tc>
          <w:tcPr>
            <w:tcW w:w="11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Unobservable</w:t>
            </w:r>
          </w:p>
        </w:tc>
      </w:t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4"/>
              </w:rPr>
              <w:t>Balances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ind w:left="203"/>
              <w:spacing w:after="0"/>
              <w:rPr>
                <w:sz w:val="20"/>
                <w:szCs w:val="20"/>
                <w:color w:val="auto"/>
              </w:rPr>
            </w:pPr>
            <w:r>
              <w:rPr>
                <w:rFonts w:ascii="Arial" w:cs="Arial" w:eastAsia="Arial" w:hAnsi="Arial"/>
                <w:sz w:val="13"/>
                <w:szCs w:val="13"/>
                <w:b w:val="1"/>
                <w:bCs w:val="1"/>
                <w:color w:val="auto"/>
                <w:w w:val="92"/>
              </w:rPr>
              <w:t>Inputs</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Inputs</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2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78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w w:val="99"/>
              </w:rPr>
              <w:t>in millions)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2011: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27</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108</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50</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22</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22</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2009: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 mix of index funds that track the S&amp;P 500 (45 percent in 2011 and 2010 and 40 percent in 2009) and separate actively managed equity accounts that are benchmarked to the Russell 1000 (55 percent in 2011 and 2010 and 60 percent in 2009).</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41" w:lineRule="exact"/>
        <w:rPr>
          <w:sz w:val="20"/>
          <w:szCs w:val="20"/>
          <w:color w:val="auto"/>
        </w:rPr>
      </w:pPr>
    </w:p>
    <w:p>
      <w:pPr>
        <w:ind w:left="1680" w:right="120" w:hanging="533"/>
        <w:spacing w:after="0" w:line="282" w:lineRule="auto"/>
        <w:tabs>
          <w:tab w:leader="none" w:pos="16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mix of index funds (75 percent) and separate actively managed equity accounts (25 percent) that track or are benchmarked to the S&amp;P 400 midcap index.</w:t>
      </w:r>
    </w:p>
    <w:p>
      <w:pPr>
        <w:spacing w:after="0" w:line="196" w:lineRule="exact"/>
        <w:rPr>
          <w:rFonts w:ascii="Arial" w:cs="Arial" w:eastAsia="Arial" w:hAnsi="Arial"/>
          <w:sz w:val="17"/>
          <w:szCs w:val="17"/>
          <w:color w:val="auto"/>
        </w:rPr>
      </w:pPr>
    </w:p>
    <w:p>
      <w:pPr>
        <w:ind w:left="1680" w:hanging="533"/>
        <w:spacing w:after="0"/>
        <w:tabs>
          <w:tab w:leader="none" w:pos="16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Primarily separate actively managed pooled investment accounts that are benchmarked to the MSCI and MSCI emerging market indices.</w:t>
      </w:r>
    </w:p>
    <w:p>
      <w:pPr>
        <w:spacing w:after="0" w:line="248" w:lineRule="exact"/>
        <w:rPr>
          <w:rFonts w:ascii="Arial" w:cs="Arial" w:eastAsia="Arial" w:hAnsi="Arial"/>
          <w:sz w:val="16"/>
          <w:szCs w:val="16"/>
          <w:color w:val="auto"/>
        </w:rPr>
      </w:pPr>
    </w:p>
    <w:p>
      <w:pPr>
        <w:ind w:left="1680" w:right="120" w:hanging="533"/>
        <w:spacing w:after="0" w:line="282" w:lineRule="auto"/>
        <w:tabs>
          <w:tab w:leader="none" w:pos="16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Index funds not actively managed (45 percent in 2011 and 2010 and 75 percent in 2009) and separate actively managed accounts (55 percent in 2011 and 2010 and 25 percent in 2009).</w:t>
      </w:r>
    </w:p>
    <w:p>
      <w:pPr>
        <w:spacing w:after="0" w:line="182" w:lineRule="exact"/>
        <w:rPr>
          <w:rFonts w:ascii="Arial" w:cs="Arial" w:eastAsia="Arial" w:hAnsi="Arial"/>
          <w:sz w:val="17"/>
          <w:szCs w:val="17"/>
          <w:color w:val="auto"/>
        </w:rPr>
      </w:pPr>
    </w:p>
    <w:p>
      <w:pPr>
        <w:ind w:left="1680" w:right="240" w:hanging="533"/>
        <w:spacing w:after="0" w:line="282" w:lineRule="auto"/>
        <w:tabs>
          <w:tab w:leader="none" w:pos="16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Index funds not actively managed (40 percent in 2011, 15 percent in 2010 and 75 percent in 2009) and separate actively managed accounts (60 percent in 2011, 85 percent in 2010 and 25 percent in 2009).</w:t>
      </w:r>
    </w:p>
    <w:p>
      <w:pPr>
        <w:spacing w:after="0" w:line="196" w:lineRule="exact"/>
        <w:rPr>
          <w:rFonts w:ascii="Arial" w:cs="Arial" w:eastAsia="Arial" w:hAnsi="Arial"/>
          <w:sz w:val="17"/>
          <w:szCs w:val="17"/>
          <w:color w:val="auto"/>
        </w:rPr>
      </w:pPr>
    </w:p>
    <w:p>
      <w:pPr>
        <w:ind w:left="1680" w:right="60" w:hanging="533"/>
        <w:spacing w:after="0" w:line="270" w:lineRule="auto"/>
        <w:tabs>
          <w:tab w:leader="none" w:pos="16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Primarily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Equities that are valued using quoted prices are valued at the published market prices. Equities in a common collective trust or a registered investment company that are valued using significant other observable inputs are valued at the net asset value (NAV) provided by the fund administrator. The NAV is based on the value of the underlying assets owned by the fund minus its liabilities. Fixed income securities that are valued using significant other observable inputs are valued at prices obtained from independent financial service industry-recognized vendors. Absolute return funds and commodities are valued at the NAV provided by the fund administrator.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 in the value of assets that are measured using significant unobservable inputs: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137"/>
        </w:trPr>
        <w:tc>
          <w:tcPr>
            <w:tcW w:w="6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w w:val="95"/>
              </w:rPr>
              <w:t>(dollars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Transfers in from other categories</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 on hand at year end</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7"/>
                <w:szCs w:val="17"/>
                <w:color w:val="auto"/>
              </w:rPr>
              <w:t>Purchases, sales and settlements, net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r>
      <w:tr>
        <w:trPr>
          <w:trHeight w:val="26"/>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made across a range of markets, industry sectors, capitalization sizes, and in the case of fixed income securities, maturities and credit quality. There are no known significant concentrations of risk in the plans' assets.</w:t>
      </w:r>
    </w:p>
    <w:p>
      <w:pPr>
        <w:spacing w:after="0" w:line="145"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benefit payments expected to be paid to participants, which includes payments funded from company assets as well as paid from the plans, are as follows: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0"/>
              </w:rPr>
              <w:t>(dollars in millions)</w:t>
            </w:r>
          </w:p>
        </w:tc>
        <w:tc>
          <w:tcPr>
            <w:tcW w:w="160" w:type="dxa"/>
            <w:vAlign w:val="bottom"/>
          </w:tcPr>
          <w:p>
            <w:pPr>
              <w:spacing w:after="0"/>
              <w:rPr>
                <w:sz w:val="13"/>
                <w:szCs w:val="13"/>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2013</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2017 to 2021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w:t>
      </w:r>
    </w:p>
    <w:p>
      <w:pPr>
        <w:spacing w:after="0" w:line="228" w:lineRule="exact"/>
        <w:rPr>
          <w:sz w:val="20"/>
          <w:szCs w:val="20"/>
          <w:color w:val="auto"/>
        </w:rPr>
      </w:pPr>
    </w:p>
    <w:p>
      <w:pPr>
        <w:ind w:right="100" w:firstLine="332"/>
        <w:spacing w:after="0" w:line="315" w:lineRule="auto"/>
        <w:rPr>
          <w:sz w:val="20"/>
          <w:szCs w:val="20"/>
          <w:color w:val="auto"/>
        </w:rPr>
      </w:pPr>
      <w:r>
        <w:rPr>
          <w:rFonts w:ascii="Arial" w:cs="Arial" w:eastAsia="Arial" w:hAnsi="Arial"/>
          <w:sz w:val="16"/>
          <w:szCs w:val="16"/>
          <w:color w:val="auto"/>
        </w:rPr>
        <w:t>AbbVie operates in one business segment—pharmaceutical products. Substantially all of AbbVie's U.S. sales are to three wholesalers. Outside the U.S., products are sold primarily to health care providers or through distributors, depending on the market served. Net sales of key products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gridSpan w:val="9"/>
          </w:tcPr>
          <w:p>
            <w:pPr>
              <w:ind w:left="3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TriCor/Trilipix</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Niaspan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Lupron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Sevoflurane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Norvir</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Creon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gridSpan w:val="2"/>
            <w:vMerge w:val="restart"/>
          </w:tcPr>
          <w:p>
            <w:pPr>
              <w:ind w:left="1720"/>
              <w:spacing w:after="0"/>
              <w:rPr>
                <w:sz w:val="20"/>
                <w:szCs w:val="20"/>
                <w:color w:val="auto"/>
              </w:rPr>
            </w:pPr>
            <w:r>
              <w:rPr>
                <w:rFonts w:ascii="Arial" w:cs="Arial" w:eastAsia="Arial" w:hAnsi="Arial"/>
                <w:sz w:val="17"/>
                <w:szCs w:val="17"/>
                <w:color w:val="auto"/>
              </w:rPr>
              <w:t>Combined Net Sales</w:t>
            </w:r>
          </w:p>
        </w:tc>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0" w:type="dxa"/>
            <w:vAlign w:val="bottom"/>
            <w:gridSpan w:val="2"/>
          </w:tcPr>
          <w:p>
            <w:pPr>
              <w:jc w:val="right"/>
              <w:ind w:right="1375"/>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ind w:left="40"/>
              <w:spacing w:after="0"/>
              <w:rPr>
                <w:sz w:val="20"/>
                <w:szCs w:val="20"/>
                <w:color w:val="auto"/>
              </w:rPr>
            </w:pPr>
            <w:r>
              <w:rPr>
                <w:rFonts w:ascii="Arial" w:cs="Arial" w:eastAsia="Arial" w:hAnsi="Arial"/>
                <w:sz w:val="13"/>
                <w:szCs w:val="13"/>
                <w:b w:val="1"/>
                <w:bCs w:val="1"/>
                <w:color w:val="auto"/>
              </w:rPr>
              <w:t>Net Sales to External Customers(a)</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The Netherlands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Japan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Spain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France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Italy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Brazil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Countries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rPr>
              <w:t>Combined Net Sales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hanging="523"/>
        <w:spacing w:after="0"/>
        <w:tabs>
          <w:tab w:leader="none" w:pos="22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Sales by country are based on the country that sold the product.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consisting of net property and equipment in the U.S. and Puerto Rico totaled approximately $1.5 billion as of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w:t>
      </w:r>
    </w:p>
    <w:p>
      <w:pPr>
        <w:spacing w:after="0" w:line="185"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Abbott's 2009 Incentive Stock Program authorizes the granting of nonqualified stock options, replacement stock options, restricted stock awards, restricted stock units, performance awards, foreign benefits and other share-based awards. Stock options, replacement stock options and restricted stock awards and units comprise the majority of benefits that have been granted and are currently outstanding under this program and a prior program. The purchase price of shares under option must be at least equal to the fair market value of the common stock on the date of grant, and the maximum term of an option is 10 years. Options vest equally over three years except for replacement options, which vest in six months. Options granted before January 1, 2005 included a replacement feature. Except for options outstanding that have a replacement feature, options granted after December 31, 2004 do not include a replacement feature. When an employee tenders mature shares upon exercise of a stock option, a replacement stock option may be granted equal to the amount of shares tendered. Replacement options are granted at the then current market price for a term that expires on the date of the underlying option grant. Restricted stock awards generally vest between 3 and 5 years and for restricted stock awards that vest over 5 years, no more than one-third of the award vests in any 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year upon Abbott reaching a minimum return on equity target. Restricted stock units vest over three years and upon vesting, the recipient receives one share of Abbott stock for each vested restricted stock unit. The aggregate fair market value of restricted stock awards and units is recognized as expense over the service period. Upon a change in control of Abbott, all outstanding stock options become fully exercisable, and all terms and conditions of all restricted stock awards and units are deemed satisfied. The expected separation of AbbVie by Abbott will not be a change in control under the 2009 Incentive Stock Program.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 respect to AbbVie employees, the number of restricted stock awards and units outstanding and the weighted-average grant-date fair value at December 31,</w:t>
      </w:r>
    </w:p>
    <w:p>
      <w:pPr>
        <w:spacing w:after="0" w:line="4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2011 and December 31, 2010 was 4,709,800 and $50.29 and 3,961,145 and $54.13, respectively. The number of restricted stock awards and units, and the weighted-average grant-date fair value, that were granted, vested and lapsed during 2011 were 2,565,211 and $46.84, 1,579,124 and $54.10 and 237,432 and $51.72, respectively. The fair market value of restricted stock awards and units vested in 2011, 2010 and 2009 was $74 million, $53 million and $13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option activity and outstanding balances under Abbott's Incentive Stock Programs for AbbVie employees: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96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1"/>
              </w:rPr>
              <w:t>Options Outstanding</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1"/>
              </w:rPr>
              <w:t>Exercisable Options</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Weighted</w:t>
            </w:r>
          </w:p>
        </w:tc>
        <w:tc>
          <w:tcPr>
            <w:tcW w:w="740" w:type="dxa"/>
            <w:vAlign w:val="bottom"/>
          </w:tcPr>
          <w:p>
            <w:pPr>
              <w:jc w:val="center"/>
              <w:ind w:right="8"/>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Weighted</w:t>
            </w:r>
          </w:p>
        </w:tc>
        <w:tc>
          <w:tcPr>
            <w:tcW w:w="7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Remaining</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33,419,902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30,682,120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569,781</w:t>
            </w:r>
          </w:p>
        </w:tc>
        <w:tc>
          <w:tcPr>
            <w:tcW w:w="100" w:type="dxa"/>
            <w:vAlign w:val="bottom"/>
          </w:tcPr>
          <w:p>
            <w:pPr>
              <w:spacing w:after="0"/>
              <w:rPr>
                <w:sz w:val="2"/>
                <w:szCs w:val="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49.73</w:t>
            </w: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(6,666,249)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Lapsed</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(1,540,491)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25,782,943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25,177,777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aggregate intrinsic value of options outstanding and exercisable at December 31, 2011 was $167 million and $164 million, respectively. The total intrinsic value of options exercised in 2011, 2010 and 2009 was $31 million, $20 million and $31 million, respectively. The total unrecognized compensation cost related to all share-based compensation plans at December 31, 2011 amounted to approximately $84 million which is expected to be recognized over the next three years.</w:t>
      </w:r>
    </w:p>
    <w:p>
      <w:pPr>
        <w:spacing w:after="0" w:line="14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Total non-cash compensation expense charged against income in 2011, 2010 and 2009 for share-based plans was approximately $163 million, $167 million and $157 million, respectively, and the tax benefit recognized was approximately $48 million, $51 million and $49 million, respectively. Compensation cost capitalized as part of inventory is not significant.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9" w:name="page260"/>
    <w:bookmarkEnd w:id="25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fair value of an option granted in 2011, 2010 and 2009 was $6.23, $9.24 and $9.28, respectively. The fair value of an option grant was estimated using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option-pricing model with the following assumptions: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6220" w:type="dxa"/>
            <w:vAlign w:val="bottom"/>
          </w:tcPr>
          <w:p>
            <w:pPr>
              <w:spacing w:after="0"/>
              <w:rPr>
                <w:sz w:val="20"/>
                <w:szCs w:val="20"/>
                <w:color w:val="auto"/>
              </w:rPr>
            </w:pPr>
            <w:r>
              <w:rPr>
                <w:rFonts w:ascii="Arial" w:cs="Arial" w:eastAsia="Arial" w:hAnsi="Arial"/>
                <w:sz w:val="17"/>
                <w:szCs w:val="17"/>
                <w:color w:val="auto"/>
              </w:rPr>
              <w:t>Average life of options (years)</w:t>
            </w: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Dividend yield</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2010, AbbVie acquired Solvay's U.S. pharmaceuticals business and certain other product rights for approximately $1.9 billion, in cash,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payments of up to EUR 100 million per year if certain sales milestones are met in 2011, 2012 and 2013. Contingent consideration of approximately</w:t>
      </w:r>
    </w:p>
    <w:p>
      <w:pPr>
        <w:spacing w:after="0" w:line="2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$290 million was recorded. The acquisition of the Solvay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these financial statements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(in billions of dollars)</w:t>
            </w:r>
          </w:p>
        </w:tc>
        <w:tc>
          <w:tcPr>
            <w:tcW w:w="160" w:type="dxa"/>
            <w:vAlign w:val="bottom"/>
          </w:tcPr>
          <w:p>
            <w:pPr>
              <w:spacing w:after="0"/>
              <w:rPr>
                <w:sz w:val="13"/>
                <w:szCs w:val="13"/>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7"/>
                <w:szCs w:val="17"/>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1038"/>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left="878"/>
              <w:spacing w:after="0"/>
              <w:rPr>
                <w:sz w:val="20"/>
                <w:szCs w:val="20"/>
                <w:color w:val="auto"/>
              </w:rPr>
            </w:pPr>
            <w:r>
              <w:rPr>
                <w:rFonts w:ascii="Arial" w:cs="Arial" w:eastAsia="Arial" w:hAnsi="Arial"/>
                <w:sz w:val="17"/>
                <w:szCs w:val="17"/>
                <w:color w:val="auto"/>
                <w:w w:val="91"/>
              </w:rPr>
              <w:t>(0.5)</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Acquired intangible assets consist primarily of product rights for currently marketed products and are amortized over 2 to 13 years (average of 8 years). Acquired in-process research and development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0" w:name="page261"/>
    <w:bookmarkEnd w:id="26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projects are accounted for as indefinite lived intangible assets until regulatory approval or discontinuation.</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this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w:t>
      </w:r>
    </w:p>
    <w:p>
      <w:pPr>
        <w:spacing w:after="0" w:line="228" w:lineRule="exact"/>
        <w:rPr>
          <w:sz w:val="20"/>
          <w:szCs w:val="20"/>
          <w:color w:val="auto"/>
        </w:rPr>
      </w:pPr>
    </w:p>
    <w:p>
      <w:pPr>
        <w:ind w:right="580" w:firstLine="338"/>
        <w:spacing w:after="0" w:line="315"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jc w:val="both"/>
        <w:ind w:right="80"/>
        <w:spacing w:after="0" w:line="322" w:lineRule="auto"/>
        <w:rPr>
          <w:sz w:val="20"/>
          <w:szCs w:val="20"/>
          <w:color w:val="auto"/>
        </w:rPr>
      </w:pPr>
      <w:r>
        <w:rPr>
          <w:rFonts w:ascii="Arial" w:cs="Arial" w:eastAsia="Arial" w:hAnsi="Arial"/>
          <w:sz w:val="15"/>
          <w:szCs w:val="15"/>
          <w:color w:val="auto"/>
        </w:rPr>
        <w:t>$249 million and $364 million at December 31, 2011 and 2010, respectively, are designated as cash flow hedges of the variability of the cash flows due to changes in foreign exchange rates and are recorded at fair value. Accumulated gains and losses as of December 31, 2011 will be included in Cost of products sold at the time the products are sold, generally through the next twelve months. The amount of hedge ineffectiveness was not significant in 2011, 2010 and 2009.</w:t>
      </w:r>
    </w:p>
    <w:p>
      <w:pPr>
        <w:spacing w:after="0" w:line="145"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Gross unrealized holding gains (losses) on available-for-sale equity securities totaled $44 million and $(2) million, respectively, at December 31, 2011 and $15 million and $(1) million, respectively, at December 31,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December 31: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Fair Value—Liabilities</w:t>
            </w:r>
          </w:p>
        </w:tc>
      </w:tr>
      <w:tr>
        <w:trPr>
          <w:trHeight w:val="137"/>
        </w:trPr>
        <w:tc>
          <w:tcPr>
            <w:tcW w:w="358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80" w:type="dxa"/>
            <w:vAlign w:val="bottom"/>
            <w:tcBorders>
              <w:bottom w:val="single" w:sz="8" w:color="auto"/>
            </w:tcBorders>
          </w:tcPr>
          <w:p>
            <w:pPr>
              <w:ind w:left="220"/>
              <w:spacing w:after="0" w:line="138" w:lineRule="exact"/>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1"/>
                <w:szCs w:val="11"/>
                <w:color w:val="auto"/>
              </w:rPr>
            </w:pPr>
          </w:p>
        </w:tc>
        <w:tc>
          <w:tcPr>
            <w:tcW w:w="42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Balance Sheet Caption</w:t>
            </w:r>
          </w:p>
        </w:tc>
      </w:tr>
      <w:tr>
        <w:trPr>
          <w:trHeight w:val="137"/>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ind w:left="1100"/>
              <w:spacing w:after="0" w:line="138" w:lineRule="exact"/>
              <w:rPr>
                <w:sz w:val="20"/>
                <w:szCs w:val="20"/>
                <w:color w:val="auto"/>
              </w:rPr>
            </w:pPr>
            <w:r>
              <w:rPr>
                <w:rFonts w:ascii="Arial" w:cs="Arial" w:eastAsia="Arial" w:hAnsi="Arial"/>
                <w:sz w:val="13"/>
                <w:szCs w:val="13"/>
                <w:b w:val="1"/>
                <w:bCs w:val="1"/>
                <w:color w:val="auto"/>
                <w:w w:val="90"/>
              </w:rPr>
              <w:t>(dollars in</w:t>
            </w:r>
          </w:p>
        </w:tc>
        <w:tc>
          <w:tcPr>
            <w:tcW w:w="5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35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180" w:type="dxa"/>
            <w:vAlign w:val="bottom"/>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1680" w:type="dxa"/>
            <w:vAlign w:val="bottom"/>
          </w:tcPr>
          <w:p>
            <w:pPr>
              <w:spacing w:after="0" w:line="144" w:lineRule="exact"/>
              <w:rPr>
                <w:sz w:val="20"/>
                <w:szCs w:val="20"/>
                <w:color w:val="auto"/>
              </w:rPr>
            </w:pPr>
            <w:r>
              <w:rPr>
                <w:rFonts w:ascii="Arial" w:cs="Arial" w:eastAsia="Arial" w:hAnsi="Arial"/>
                <w:sz w:val="13"/>
                <w:szCs w:val="13"/>
                <w:color w:val="auto"/>
              </w:rPr>
              <w:t>Other prepaid expenses and</w:t>
            </w:r>
          </w:p>
        </w:tc>
        <w:tc>
          <w:tcPr>
            <w:tcW w:w="340" w:type="dxa"/>
            <w:vAlign w:val="bottom"/>
            <w:gridSpan w:val="2"/>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w:t>
            </w:r>
          </w:p>
        </w:tc>
        <w:tc>
          <w:tcPr>
            <w:tcW w:w="1440" w:type="dxa"/>
            <w:vAlign w:val="bottom"/>
          </w:tcPr>
          <w:p>
            <w:pPr>
              <w:spacing w:after="0" w:line="144" w:lineRule="exact"/>
              <w:rPr>
                <w:sz w:val="20"/>
                <w:szCs w:val="20"/>
                <w:color w:val="auto"/>
              </w:rPr>
            </w:pPr>
            <w:r>
              <w:rPr>
                <w:rFonts w:ascii="Arial" w:cs="Arial" w:eastAsia="Arial" w:hAnsi="Arial"/>
                <w:sz w:val="13"/>
                <w:szCs w:val="13"/>
                <w:color w:val="auto"/>
              </w:rPr>
              <w:t>Other accrued liabilities</w:t>
            </w:r>
          </w:p>
        </w:tc>
      </w:tr>
      <w:tr>
        <w:trPr>
          <w:trHeight w:val="144"/>
        </w:trPr>
        <w:tc>
          <w:tcPr>
            <w:tcW w:w="35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10</w:t>
            </w:r>
          </w:p>
        </w:tc>
        <w:tc>
          <w:tcPr>
            <w:tcW w:w="1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receivables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w:t>
            </w:r>
          </w:p>
        </w:tc>
        <w:tc>
          <w:tcPr>
            <w:tcW w:w="1440" w:type="dxa"/>
            <w:vAlign w:val="bottom"/>
            <w:shd w:val="clear" w:color="auto" w:fill="CCEEFF"/>
          </w:tcPr>
          <w:p>
            <w:pPr>
              <w:spacing w:after="0"/>
              <w:rPr>
                <w:sz w:val="12"/>
                <w:szCs w:val="12"/>
                <w:color w:val="auto"/>
              </w:rPr>
            </w:pPr>
          </w:p>
        </w:tc>
      </w:tr>
      <w:tr>
        <w:trPr>
          <w:trHeight w:val="26"/>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358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10</w:t>
            </w:r>
          </w:p>
        </w:tc>
        <w:tc>
          <w:tcPr>
            <w:tcW w:w="168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30</w:t>
            </w:r>
          </w:p>
        </w:tc>
        <w:tc>
          <w:tcPr>
            <w:tcW w:w="14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and for certain other derivative financial instruments. The amount of hedge ineffectiveness was not significant in 2011, 2010 and 2009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680" w:type="dxa"/>
            <w:vAlign w:val="bottom"/>
            <w:gridSpan w:val="8"/>
          </w:tcPr>
          <w:p>
            <w:pPr>
              <w:jc w:val="center"/>
              <w:ind w:right="74"/>
              <w:spacing w:after="0"/>
              <w:rPr>
                <w:sz w:val="20"/>
                <w:szCs w:val="20"/>
                <w:color w:val="auto"/>
              </w:rPr>
            </w:pPr>
            <w:r>
              <w:rPr>
                <w:rFonts w:ascii="Arial" w:cs="Arial" w:eastAsia="Arial" w:hAnsi="Arial"/>
                <w:sz w:val="13"/>
                <w:szCs w:val="13"/>
                <w:b w:val="1"/>
                <w:bCs w:val="1"/>
                <w:color w:val="auto"/>
                <w:w w:val="89"/>
              </w:rPr>
              <w:t>Gain (loss) Recognized in</w:t>
            </w:r>
          </w:p>
        </w:tc>
        <w:tc>
          <w:tcPr>
            <w:tcW w:w="17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89"/>
              </w:rPr>
              <w:t>Income (expense) and Gain</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center"/>
              <w:ind w:right="194"/>
              <w:spacing w:after="0" w:line="144" w:lineRule="exact"/>
              <w:rPr>
                <w:sz w:val="20"/>
                <w:szCs w:val="20"/>
                <w:color w:val="auto"/>
              </w:rPr>
            </w:pPr>
            <w:r>
              <w:rPr>
                <w:rFonts w:ascii="Arial" w:cs="Arial" w:eastAsia="Arial" w:hAnsi="Arial"/>
                <w:sz w:val="13"/>
                <w:szCs w:val="13"/>
                <w:b w:val="1"/>
                <w:bCs w:val="1"/>
                <w:color w:val="auto"/>
                <w:w w:val="91"/>
              </w:rPr>
              <w:t>Other Comprehensive</w:t>
            </w:r>
          </w:p>
        </w:tc>
        <w:tc>
          <w:tcPr>
            <w:tcW w:w="1700" w:type="dxa"/>
            <w:vAlign w:val="bottom"/>
            <w:gridSpan w:val="8"/>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(loss) Reclassified into</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center"/>
              <w:ind w:right="174"/>
              <w:spacing w:after="0"/>
              <w:rPr>
                <w:sz w:val="20"/>
                <w:szCs w:val="20"/>
                <w:color w:val="auto"/>
              </w:rPr>
            </w:pPr>
            <w:r>
              <w:rPr>
                <w:rFonts w:ascii="Arial" w:cs="Arial" w:eastAsia="Arial" w:hAnsi="Arial"/>
                <w:sz w:val="13"/>
                <w:szCs w:val="13"/>
                <w:b w:val="1"/>
                <w:bCs w:val="1"/>
                <w:color w:val="auto"/>
                <w:w w:val="88"/>
              </w:rPr>
              <w:t>Income (loss)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4"/>
              </w:rPr>
              <w:t>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forward exchange contracts designated as cash</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flow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   75</w:t>
            </w:r>
          </w:p>
        </w:tc>
        <w:tc>
          <w:tcPr>
            <w:tcW w:w="660" w:type="dxa"/>
            <w:vAlign w:val="bottom"/>
            <w:gridSpan w:val="3"/>
            <w:shd w:val="clear" w:color="auto" w:fill="CCEEFF"/>
          </w:tcPr>
          <w:p>
            <w:pPr>
              <w:jc w:val="right"/>
              <w:ind w:right="94"/>
              <w:spacing w:after="0"/>
              <w:rPr>
                <w:sz w:val="20"/>
                <w:szCs w:val="20"/>
                <w:color w:val="auto"/>
              </w:rPr>
            </w:pPr>
            <w:r>
              <w:rPr>
                <w:rFonts w:ascii="Arial" w:cs="Arial" w:eastAsia="Arial" w:hAnsi="Arial"/>
                <w:sz w:val="13"/>
                <w:szCs w:val="13"/>
                <w:color w:val="auto"/>
              </w:rPr>
              <w:t>$   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18</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45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35"/>
        </w:trPr>
        <w:tc>
          <w:tcPr>
            <w:tcW w:w="3800" w:type="dxa"/>
            <w:vAlign w:val="bottom"/>
          </w:tcPr>
          <w:p>
            <w:pPr>
              <w:spacing w:after="0" w:line="136" w:lineRule="exact"/>
              <w:rPr>
                <w:sz w:val="20"/>
                <w:szCs w:val="20"/>
                <w:color w:val="auto"/>
              </w:rPr>
            </w:pPr>
            <w:r>
              <w:rPr>
                <w:rFonts w:ascii="Arial" w:cs="Arial" w:eastAsia="Arial" w:hAnsi="Arial"/>
                <w:sz w:val="13"/>
                <w:szCs w:val="13"/>
                <w:color w:val="auto"/>
              </w:rPr>
              <w:t>Foreign currency forward exchange contracts not designated as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3"/>
                <w:szCs w:val="13"/>
                <w:color w:val="auto"/>
              </w:rPr>
              <w:t>hedges</w:t>
            </w: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46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560" w:type="dxa"/>
            <w:vAlign w:val="bottom"/>
            <w:gridSpan w:val="2"/>
          </w:tcPr>
          <w:p>
            <w:pPr>
              <w:jc w:val="right"/>
              <w:ind w:right="94"/>
              <w:spacing w:after="0"/>
              <w:rPr>
                <w:sz w:val="20"/>
                <w:szCs w:val="20"/>
                <w:color w:val="auto"/>
              </w:rPr>
            </w:pPr>
            <w:r>
              <w:rPr>
                <w:rFonts w:ascii="Arial" w:cs="Arial" w:eastAsia="Arial" w:hAnsi="Arial"/>
                <w:sz w:val="13"/>
                <w:szCs w:val="13"/>
                <w:color w:val="auto"/>
              </w:rPr>
              <w:t>n/a</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2020" w:type="dxa"/>
            <w:vAlign w:val="bottom"/>
          </w:tcPr>
          <w:p>
            <w:pPr>
              <w:spacing w:after="0"/>
              <w:rPr>
                <w:sz w:val="20"/>
                <w:szCs w:val="20"/>
                <w:color w:val="auto"/>
              </w:rPr>
            </w:pPr>
            <w:r>
              <w:rPr>
                <w:rFonts w:ascii="Arial" w:cs="Arial" w:eastAsia="Arial" w:hAnsi="Arial"/>
                <w:sz w:val="13"/>
                <w:szCs w:val="13"/>
                <w:color w:val="auto"/>
              </w:rPr>
              <w:t>Net foreign exchange (gain) loss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carrying values and fair values of certain financial instruments as of December 31 are shown in the table below. The carrying values of all other financial instruments approximate their estimated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2" w:name="page263"/>
    <w:bookmarkEnd w:id="26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940"/>
        <w:spacing w:after="0" w:line="282" w:lineRule="auto"/>
        <w:rPr>
          <w:sz w:val="20"/>
          <w:szCs w:val="20"/>
          <w:color w:val="auto"/>
        </w:rPr>
      </w:pPr>
      <w:r>
        <w:rPr>
          <w:rFonts w:ascii="Arial" w:cs="Arial" w:eastAsia="Arial" w:hAnsi="Arial"/>
          <w:sz w:val="17"/>
          <w:szCs w:val="17"/>
          <w:color w:val="auto"/>
        </w:rPr>
        <w:t>fair values. The counterparties to financial instruments consist of select major international financial institutions. AbbVie does not expect any losses from nonperformance by these counterparties.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5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 Securities—Equity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137</w:t>
            </w:r>
          </w:p>
        </w:tc>
        <w:tc>
          <w:tcPr>
            <w:tcW w:w="16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certain assets and liabilities at fair value on a recurring basis in the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2200" w:type="dxa"/>
            <w:vAlign w:val="bottom"/>
            <w:gridSpan w:val="4"/>
          </w:tcPr>
          <w:p>
            <w:pPr>
              <w:jc w:val="center"/>
              <w:ind w:right="126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208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58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2010:</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30</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11—Goodwill and Intangible Assets</w:t>
      </w:r>
    </w:p>
    <w:p>
      <w:pPr>
        <w:spacing w:after="0" w:line="228" w:lineRule="exact"/>
        <w:rPr>
          <w:sz w:val="20"/>
          <w:szCs w:val="20"/>
          <w:color w:val="auto"/>
        </w:rPr>
      </w:pPr>
    </w:p>
    <w:p>
      <w:pPr>
        <w:ind w:right="380" w:firstLine="341"/>
        <w:spacing w:after="0" w:line="322" w:lineRule="auto"/>
        <w:rPr>
          <w:sz w:val="20"/>
          <w:szCs w:val="20"/>
          <w:color w:val="auto"/>
        </w:rPr>
      </w:pPr>
      <w:r>
        <w:rPr>
          <w:rFonts w:ascii="Arial" w:cs="Arial" w:eastAsia="Arial" w:hAnsi="Arial"/>
          <w:sz w:val="15"/>
          <w:szCs w:val="15"/>
          <w:color w:val="auto"/>
        </w:rPr>
        <w:t>Foreign currency translation and other adjustments decreased goodwill by approximately $98 million in 2011. AbbVie recorded goodwill of approximately $532 million in 2010 related to the acquisitions of Solvay's U.S. pharmaceuticals business and Facet Biotech. Foreign currency translation decreased goodwill by approximately $174 million in 2010. There were no reductions of goodwill relating to impairments or disposal of all or a portion of a business.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0"/>
              </w:rPr>
              <w:t>December 31, 2011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0"/>
              </w:rPr>
              <w:t>December 31, 2010</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8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Amortization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4,307</w:t>
            </w:r>
          </w:p>
        </w:tc>
        <w:tc>
          <w:tcPr>
            <w:tcW w:w="42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6"/>
        </w:trPr>
        <w:tc>
          <w:tcPr>
            <w:tcW w:w="39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In-Process research and development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6,014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In 2011, AbbVie recorded impairment charges of $46 million due to the discontinuation of certain projects under development. These charges are included in research and development expenses. The estimated annual amortization expense for intangible assets recorded at December 31, 2011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w:t>
      </w:r>
    </w:p>
    <w:p>
      <w:pPr>
        <w:spacing w:after="0" w:line="228" w:lineRule="exact"/>
        <w:rPr>
          <w:sz w:val="20"/>
          <w:szCs w:val="20"/>
          <w:color w:val="auto"/>
        </w:rPr>
      </w:pPr>
    </w:p>
    <w:p>
      <w:pPr>
        <w:ind w:right="560" w:firstLine="341"/>
        <w:spacing w:after="0" w:line="287" w:lineRule="auto"/>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 commercial and research and development operations in order to reduce costs. In 2011 and 2009, AbbVie recorded charges of approximately $160 million and $27 million, respectively, reflecting employee severance and other related charges. Approximately $42 million in 2011 is classified as cost of products sold, $69 million as Research and development and $49 million as Selling, general and administrative and approximately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4" w:name="page265"/>
    <w:bookmarkEnd w:id="26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$27 million in 2009 as Selling, general and administrative. The following summarizes the activity for these restructurings:</w:t>
      </w:r>
    </w:p>
    <w:p>
      <w:pPr>
        <w:spacing w:after="0" w:line="272" w:lineRule="exact"/>
        <w:rPr>
          <w:sz w:val="20"/>
          <w:szCs w:val="20"/>
          <w:color w:val="auto"/>
        </w:rPr>
      </w:pPr>
    </w:p>
    <w:p>
      <w:pPr>
        <w:jc w:val="right"/>
        <w:ind w:right="136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5080</wp:posOffset>
            </wp:positionV>
            <wp:extent cx="8324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-115570</wp:posOffset>
            </wp:positionV>
            <wp:extent cx="5793740"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40" w:hanging="1132"/>
        <w:spacing w:after="0"/>
        <w:tabs>
          <w:tab w:leader="none" w:pos="11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77</w:t>
      </w:r>
    </w:p>
    <w:p>
      <w:pPr>
        <w:spacing w:after="0" w:line="13"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hanging="1132"/>
        <w:spacing w:after="0"/>
        <w:tabs>
          <w:tab w:leader="none" w:pos="11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8324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wp:posOffset>
            </wp:positionV>
            <wp:extent cx="8324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560"/>
          </w:cols>
          <w:pgMar w:left="240" w:top="131" w:right="299" w:bottom="1440" w:gutter="0" w:footer="0" w:header="0"/>
          <w:type w:val="continuous"/>
        </w:sectPr>
      </w:pPr>
    </w:p>
    <w:p>
      <w:pPr>
        <w:spacing w:after="0" w:line="9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An additional $26 million, $7 million and $7 million were subsequently recorded in 2011, 2010 and 2009, respectively, relating to these restructurings, primarily for accelerated depreciation.</w:t>
      </w:r>
    </w:p>
    <w:p>
      <w:pPr>
        <w:spacing w:after="0" w:line="170"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0"/>
              </w:rPr>
              <w:t>(dollars in millions)</w:t>
            </w:r>
          </w:p>
        </w:tc>
        <w:tc>
          <w:tcPr>
            <w:tcW w:w="140" w:type="dxa"/>
            <w:vAlign w:val="bottom"/>
          </w:tcPr>
          <w:p>
            <w:pPr>
              <w:spacing w:after="0"/>
              <w:rPr>
                <w:sz w:val="13"/>
                <w:szCs w:val="13"/>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2010 employee severance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r>
      <w:tr>
        <w:trPr>
          <w:trHeight w:val="26"/>
        </w:trPr>
        <w:tc>
          <w:tcPr>
            <w:tcW w:w="7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w:t>
      </w:r>
    </w:p>
    <w:p>
      <w:pPr>
        <w:spacing w:after="0" w:line="228"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Abbott provides AbbVie certain services,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combined financial statements does not necessarily include all the expenses that would have been incurred had AbbVie been a separate, stand-alone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65" w:name="page266"/>
    <w:bookmarkEnd w:id="26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such, the financial information herein may not necessarily reflect the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 The allocation methods include relative sales, headcount, square footage, number of transactions or other measures. These allocations totaled $801 million, $677 million and $657 million for the years ended December 31, 2011,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AbbVie evaluated subsequent events for recognition or disclosure through June 4, 2012, the date the combined financial statements were available to be issued.</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66" w:name="page267"/>
    <w:bookmarkEnd w:id="26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Earnings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4"/>
              </w:rPr>
              <w:t>Six Months Ended June 30</w:t>
            </w: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8,665,751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8,171,207</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2,228,596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2,314,649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1,284,245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1,176,856</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260,000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2,492,897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2,218,922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6,265,738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5,982,927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2,400,013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2,188,280</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21,238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(25,571)</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(28,624)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2,407,399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2,239,054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257,545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(24,176)</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2,149,854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2,263,230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67" w:name="page268"/>
    <w:bookmarkEnd w:id="26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Comprehensive Income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-3175</wp:posOffset>
            </wp:positionV>
            <wp:extent cx="12319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2,149,854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2,263,230</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2"/>
              </w:rPr>
              <w:t>(307,810)</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726,792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Amortization of net actuarial losses and prior service cost, net of taxes of $290 in 2012 and $370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w w:val="93"/>
              </w:rPr>
              <w:t>Unrealized gains on marketable equity securities, net of taxes of $3,569 in 2012 and $3,956 in 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6,182</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6,853</w:t>
            </w: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adjustments for derivative instruments designated as cash flow hedges, net of taxes of $831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2012 and $(18,425) in 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(67,951)</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(300,327)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666,498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1,849,527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2,929,728</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June 30</w:t>
            </w: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8"/>
              </w:rPr>
              <w:t>December 31</w:t>
            </w:r>
          </w:p>
        </w:tc>
        <w:tc>
          <w:tcPr>
            <w:tcW w:w="0" w:type="dxa"/>
            <w:vAlign w:val="bottom"/>
          </w:tcPr>
          <w:p>
            <w:pPr>
              <w:spacing w:after="0"/>
              <w:rPr>
                <w:sz w:val="1"/>
                <w:szCs w:val="1"/>
                <w:color w:val="auto"/>
              </w:rPr>
            </w:pPr>
          </w:p>
        </w:tc>
      </w:tr>
      <w:tr>
        <w:trPr>
          <w:trHeight w:val="157"/>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Accumulated Other Comprehensive Income Information, net of tax:</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foreign currency translation loss (gain) adjustments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299,374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(8,436)</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65,201</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(32,546)</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(26,364)</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68" w:name="page269"/>
    <w:bookmarkEnd w:id="26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Cash Flows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-3175</wp:posOffset>
            </wp:positionV>
            <wp:extent cx="129857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259,143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247,207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355,192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384,878</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126,089</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98,579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751,531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196,313</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(690,973)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(38,427)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3,155,287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3,428,780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(780,849)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(256,121)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(187,936)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restricted funds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1,870,000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Proceeds from (purchases of) sales of investment securities, net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630,383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(1,924,707)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(406,105)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(Used in) Financing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(7,873)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(7,754)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(2,694,254)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(2,962,945)</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(2,702,127)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(2,970,699)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47,055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28,058</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27,482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37,702</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69" w:name="page270"/>
    <w:bookmarkEnd w:id="26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Balance Sheet</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1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27,482</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626,099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 less allowances of—2012: $123,119; 2011: $160,832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2,994,005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3,817,486</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Finished products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447,648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428,286</w:t>
            </w: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207,439</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207,229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Materials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236,067</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inventories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862,775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2,011,506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5,992,960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237,003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229,342</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6,135,546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4,043,525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3,803,510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Net Property and Equipment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2,540,297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2,910,167</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5,973,558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6,099,652</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873,715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919,650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17,709,554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19,657,166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1220"/>
              <w:spacing w:after="0" w:line="189" w:lineRule="exact"/>
              <w:rPr>
                <w:sz w:val="20"/>
                <w:szCs w:val="20"/>
                <w:color w:val="auto"/>
              </w:rPr>
            </w:pPr>
            <w:r>
              <w:rPr>
                <w:rFonts w:ascii="Arial" w:cs="Arial" w:eastAsia="Arial" w:hAnsi="Arial"/>
                <w:sz w:val="17"/>
                <w:szCs w:val="17"/>
                <w:b w:val="1"/>
                <w:bCs w:val="1"/>
                <w:color w:val="auto"/>
              </w:rPr>
              <w:t>Liabilities and Net Parent Company Investment in AbbVie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337,118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417,030</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Salaries, wages and commissions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438,367</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434,964</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rebates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1,495,066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1,536,826</w:t>
            </w: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2,569,170</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3,507,858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4,839,721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5,896,678</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Long-term Liabilities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1,364,758</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11,830,568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12,248,879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(325,493)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(25,166)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Parent Company Equity</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11,505,075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12,223,713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17,709,554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19,657,166</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0" w:name="page271"/>
    <w:bookmarkEnd w:id="27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Investment in 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-3175</wp:posOffset>
            </wp:positionV>
            <wp:extent cx="13487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(2,568,165)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(2,864,366)</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(300,327)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666,498</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11,505,075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15,768,361</w:t>
            </w: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1" w:name="page272"/>
    <w:bookmarkEnd w:id="27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Combined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financial data presented herein is unaudited and should be read in conjunction with the combined financial statements and accompanying notes as of December 31, 2011 and 2010 and for the three years ended December 31, 2011, 2010 and 2009 included elsewhere in this information statement. In the opinion of management, the financial data presented includes all adjustments necessary to present fairly the financial position, results of operations and cash flows for the interim periods presented. Results for interim periods should not be considered indicative of results for the full year.</w:t>
      </w:r>
    </w:p>
    <w:p>
      <w:pPr>
        <w:spacing w:after="0" w:line="16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After the distribution, AbbVie Inc. will operate as an independent, publicly-traded company.</w:t>
      </w:r>
    </w:p>
    <w:p>
      <w:pPr>
        <w:spacing w:after="0" w:line="176" w:lineRule="exact"/>
        <w:rPr>
          <w:sz w:val="20"/>
          <w:szCs w:val="20"/>
          <w:color w:val="auto"/>
        </w:rPr>
      </w:pPr>
    </w:p>
    <w:p>
      <w:pPr>
        <w:ind w:right="340" w:firstLine="338"/>
        <w:spacing w:after="0" w:line="294" w:lineRule="auto"/>
        <w:rPr>
          <w:sz w:val="20"/>
          <w:szCs w:val="20"/>
          <w:color w:val="auto"/>
        </w:rPr>
      </w:pPr>
      <w:r>
        <w:rPr>
          <w:rFonts w:ascii="Arial" w:cs="Arial" w:eastAsia="Arial" w:hAnsi="Arial"/>
          <w:sz w:val="16"/>
          <w:szCs w:val="16"/>
          <w:color w:val="auto"/>
        </w:rPr>
        <w:t>The accompanying condensed combined financial statements have been prepared on a stand-alone basis and are derived from Abbott's consolidated financial statements and accounting records. The condensed combined financial statements reflect AbbVie's financial position, results of operations, and cash flows as its business was operated as part of Abbott prior to the distribution, in conformity with U.S. generally accepted accounting principles.</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condensed combined financial statements include the allocation of certain assets and liabilities that have historically been held at the Abbott corporate level but which are specifically identifiable or allocable to AbbVie. Cash and cash equivalents and short-term investment securities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condensed combined statement of cash flow as a financing activity and in the condensed combined balance sheet as Net parent company investment in AbbVie.</w:t>
      </w:r>
    </w:p>
    <w:p>
      <w:pPr>
        <w:spacing w:after="0" w:line="176"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condensed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2" w:name="page273"/>
    <w:bookmarkEnd w:id="272"/>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headcount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23"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condensed combined balance sheet does not include any equity related to stock-based compensation plans or any net benefit plan obligations unless the benefit plan is direct to or sponsored by AbbVie. See Note 7 and Note 5 for a further description of the accounting for stock-based compensation and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2—Supplemental Financial Information</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Other accrued liabilities as of June 30, 2012 includes $830 million related to a government investigation and $385 million for royalties. Other accrued liabilities as of December 31, 2011 includes $1.5 billion related to a government investigation, $400 million for acquired in-process research and development and $417 million for royalties. Other, net in Net cash from operating activities for six months ended June 30, 2012 includes payments of approximately $800 million to settle certain government investigations.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3—Taxes on Earnings</w:t>
      </w:r>
    </w:p>
    <w:p>
      <w:pPr>
        <w:spacing w:after="0" w:line="228"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Taxes on earnings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w:t>
      </w:r>
    </w:p>
    <w:p>
      <w:pPr>
        <w:spacing w:after="0" w:line="228" w:lineRule="exact"/>
        <w:rPr>
          <w:sz w:val="20"/>
          <w:szCs w:val="20"/>
          <w:color w:val="auto"/>
        </w:rPr>
      </w:pPr>
    </w:p>
    <w:p>
      <w:pPr>
        <w:ind w:right="240" w:firstLine="338"/>
        <w:spacing w:after="0" w:line="315" w:lineRule="auto"/>
        <w:rPr>
          <w:sz w:val="20"/>
          <w:szCs w:val="20"/>
          <w:color w:val="auto"/>
        </w:rPr>
      </w:pPr>
      <w:r>
        <w:rPr>
          <w:rFonts w:ascii="Arial" w:cs="Arial" w:eastAsia="Arial" w:hAnsi="Arial"/>
          <w:sz w:val="16"/>
          <w:szCs w:val="16"/>
          <w:color w:val="auto"/>
        </w:rPr>
        <w:t>There are a number of patent disputes with third parties who claim AbbVie's products infringe their patents. On February 21, 2012, the United States Supreme Court denied Centocor Inc.'s and New York University's petition to review a February 2011 Federal Circuit Court of Appeals decision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3" w:name="page274"/>
    <w:bookmarkEnd w:id="273"/>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 (Continued)</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reversing a $1.67 billion judgment in favor of Centocor and New York University on a patent they claimed AbbVie's HUMIRA infringed. This decision concludes the case.</w:t>
      </w:r>
    </w:p>
    <w:p>
      <w:pPr>
        <w:spacing w:after="0" w:line="170"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AbbVie recorded charges of $1.5 billion in the third quarter of 2011 and $100 million in the first quarter of 2012 related to civil and criminal claims arising from this matter.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In the second quarter of 2012, AbbVie paid approximately $800 million of the $1.6 billion settlement and expects to pay the remainder in the second half of 2012. The payments are material to AbbVie's cash flows in 2012.</w:t>
      </w:r>
    </w:p>
    <w:p>
      <w:pPr>
        <w:spacing w:after="0" w:line="164" w:lineRule="exact"/>
        <w:rPr>
          <w:sz w:val="20"/>
          <w:szCs w:val="20"/>
          <w:color w:val="auto"/>
        </w:rPr>
      </w:pPr>
    </w:p>
    <w:p>
      <w:pPr>
        <w:jc w:val="both"/>
        <w:ind w:right="140" w:firstLine="338"/>
        <w:spacing w:after="0" w:line="265" w:lineRule="auto"/>
        <w:rPr>
          <w:sz w:val="20"/>
          <w:szCs w:val="20"/>
          <w:color w:val="auto"/>
        </w:rPr>
      </w:pPr>
      <w:r>
        <w:rPr>
          <w:rFonts w:ascii="Arial" w:cs="Arial" w:eastAsia="Arial" w:hAnsi="Arial"/>
          <w:sz w:val="17"/>
          <w:szCs w:val="17"/>
          <w:color w:val="auto"/>
        </w:rPr>
        <w:t>The recorded accrual balance at June 30, 2012 consists primarily of the unpaid portion of the Depakote settlement. Within the next year, other legal proceedings may occur that may result in a change in the estimated loss accrued by AbbVie. While it is not feasible to predict the outcome of all other proceedings and exposures with certainty, management believes that their ultimate disposition should not have a material adverse effect on AbbVie's financial position, cash flows,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w:t>
      </w:r>
    </w:p>
    <w:p>
      <w:pPr>
        <w:spacing w:after="0" w:line="228" w:lineRule="exact"/>
        <w:rPr>
          <w:sz w:val="20"/>
          <w:szCs w:val="20"/>
          <w:color w:val="auto"/>
        </w:rPr>
      </w:pPr>
    </w:p>
    <w:p>
      <w:pPr>
        <w:ind w:right="16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from Abbott Laboratories' other businesses. Such plans are accounted for as multiemployer benefit plans. As a result, no asset or liability was recorded by AbbVie to recognize the funded status of these plans. AbbVie recorded expense of $102 million and $75 million for the six months ended June 30, 2012 and 2011, respectively, for Abbott's allocation of pension and other postretirement benefit costs related to AbbVie's employees. As of June 30, 2012 and December 31, 2011 there were no required contributions outstanding.</w:t>
      </w:r>
    </w:p>
    <w:p>
      <w:pPr>
        <w:spacing w:after="0" w:line="187"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As of December 31, 2011, such multiemployer defined benefit pension plans were approximately 99 percent funded. The most significant shared defined benefit pension plan is the Abbott Laboratories Annuity Retirement Plan. AbbVie's active employees represent approximately 40 percent of total active participants in the Abbott Laboratories Annuity Retirement Plan. In the first quarters of 2012 and 2011, Abbott Laboratories made voluntary contributions to the Abbott Laboratories Annuity Retirement Plan of $200 million each quarter.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4" w:name="page275"/>
    <w:bookmarkEnd w:id="274"/>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 (Continued)</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December 31, 2011, the multiemployer other postretirement benefits plans were approximately 24 percent funded. The Abbott Laboratories Postretirement Retiree Health Care Plan represents the most significant shared other postretirement benefits plan. The benefits accrued by AbbVie employees represent approximately 43 percent of the total liabilities of the Abbott Laboratories Retiree Health Care Plan. In the first quarters of 2012 and 2011, Abbott Laboratories made voluntary contributions to the Abbott Laboratories Retiree Health Care Plan of $40 million each quarter.</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assets and liabilities.</w:t>
      </w:r>
    </w:p>
    <w:p>
      <w:pPr>
        <w:spacing w:after="0" w:line="170" w:lineRule="exact"/>
        <w:rPr>
          <w:sz w:val="20"/>
          <w:szCs w:val="20"/>
          <w:color w:val="auto"/>
        </w:rPr>
      </w:pPr>
    </w:p>
    <w:p>
      <w:pPr>
        <w:ind w:right="420" w:firstLine="332"/>
        <w:spacing w:after="0" w:line="352" w:lineRule="auto"/>
        <w:rPr>
          <w:sz w:val="20"/>
          <w:szCs w:val="20"/>
          <w:color w:val="auto"/>
        </w:rPr>
      </w:pPr>
      <w:r>
        <w:rPr>
          <w:rFonts w:ascii="Arial" w:cs="Arial" w:eastAsia="Arial" w:hAnsi="Arial"/>
          <w:sz w:val="15"/>
          <w:szCs w:val="15"/>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for the six months ended June 30 is as follows: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52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w w:val="92"/>
              </w:rPr>
              <w:t>Defined Benefit Plans</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100" w:type="dxa"/>
            <w:vAlign w:val="bottom"/>
          </w:tcPr>
          <w:p>
            <w:pPr>
              <w:spacing w:after="0"/>
              <w:rPr>
                <w:sz w:val="16"/>
                <w:szCs w:val="16"/>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7"/>
        </w:trPr>
        <w:tc>
          <w:tcPr>
            <w:tcW w:w="6100" w:type="dxa"/>
            <w:vAlign w:val="bottom"/>
          </w:tcPr>
          <w:p>
            <w:pPr>
              <w:spacing w:after="0"/>
              <w:rPr>
                <w:sz w:val="11"/>
                <w:szCs w:val="11"/>
                <w:color w:val="auto"/>
              </w:rPr>
            </w:pPr>
          </w:p>
        </w:tc>
        <w:tc>
          <w:tcPr>
            <w:tcW w:w="7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period</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(10)</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100" w:type="dxa"/>
            <w:vAlign w:val="bottom"/>
          </w:tcPr>
          <w:p>
            <w:pPr>
              <w:spacing w:after="0"/>
              <w:rPr>
                <w:sz w:val="20"/>
                <w:szCs w:val="20"/>
                <w:color w:val="auto"/>
              </w:rPr>
            </w:pPr>
            <w:r>
              <w:rPr>
                <w:rFonts w:ascii="Arial" w:cs="Arial" w:eastAsia="Arial" w:hAnsi="Arial"/>
                <w:sz w:val="17"/>
                <w:szCs w:val="17"/>
                <w:color w:val="auto"/>
              </w:rPr>
              <w:t>Net amortization</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cost</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shd w:val="clear" w:color="auto" w:fill="CCEEFF"/>
          </w:tcPr>
          <w:p>
            <w:pPr>
              <w:spacing w:after="0"/>
              <w:rPr>
                <w:sz w:val="17"/>
                <w:szCs w:val="17"/>
                <w:color w:val="auto"/>
              </w:rPr>
            </w:pPr>
          </w:p>
        </w:tc>
      </w:tr>
      <w:tr>
        <w:trPr>
          <w:trHeight w:val="26"/>
        </w:trPr>
        <w:tc>
          <w:tcPr>
            <w:tcW w:w="6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w:t>
      </w:r>
    </w:p>
    <w:p>
      <w:pPr>
        <w:spacing w:after="0" w:line="228"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AbbVie operates in one business segment — pharmaceutical products. Substantially all of AbbVie's U.S. sales are to three wholesalers. Outside the U.S., products are sold primarily to health care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5" w:name="page276"/>
    <w:bookmarkEnd w:id="275"/>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providers or through distributors, depending on the market served. Net sales of key products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TriCor/Trilipix</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Niaspan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Lupron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Sevoflurane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Norvir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Creon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7"/>
                <w:szCs w:val="17"/>
                <w:color w:val="auto"/>
              </w:rPr>
              <w:t>Combined Net Sales</w:t>
            </w: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8,666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7—Incentive Stock Program</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 Information regarding the number of options outstanding and exercisable at June 30, 2012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Exercisable</w:t>
            </w: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18,260,301</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17,527,512</w:t>
            </w:r>
          </w:p>
        </w:tc>
        <w:tc>
          <w:tcPr>
            <w:tcW w:w="160" w:type="dxa"/>
            <w:vAlign w:val="bottom"/>
            <w:shd w:val="clear" w:color="auto" w:fill="CCEEFF"/>
          </w:tcPr>
          <w:p>
            <w:pPr>
              <w:spacing w:after="0"/>
              <w:rPr>
                <w:sz w:val="17"/>
                <w:szCs w:val="17"/>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Weighted average remaining life (</w:t>
            </w:r>
            <w:r>
              <w:rPr>
                <w:rFonts w:ascii="Arial" w:cs="Arial" w:eastAsia="Arial" w:hAnsi="Arial"/>
                <w:sz w:val="17"/>
                <w:szCs w:val="17"/>
                <w:i w:val="1"/>
                <w:iCs w:val="1"/>
                <w:color w:val="auto"/>
              </w:rPr>
              <w:t>years</w:t>
            </w: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Aggregate intrinsic value (</w:t>
            </w:r>
            <w:r>
              <w:rPr>
                <w:rFonts w:ascii="Arial" w:cs="Arial" w:eastAsia="Arial" w:hAnsi="Arial"/>
                <w:sz w:val="17"/>
                <w:szCs w:val="17"/>
                <w:i w:val="1"/>
                <w:iCs w:val="1"/>
                <w:color w:val="auto"/>
              </w:rPr>
              <w:t>in millions</w:t>
            </w: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263</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256</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total unrecognized share-based compensation cost at June 30, 2012 amounted to approximately $141 million which is expected to be recognized over the next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6" w:name="page277"/>
    <w:bookmarkEnd w:id="276"/>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8—Business and Technology Acquisitions</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second quarter of 2012, AbbVie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9"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 $21 million and $249 million at June 30, 2012 and December 31, 2011, respectively, are designated as cash flow hedges of the variability of the cash flows due to changes in foreign exchange rates and are recorded at fair value. Accumulated gains and losses as of June 30, 2012 will be included in Cost of products sold at the time the products are sold, generally through the next twelve months. The amount of hedge ineffectiveness was not significant in 2012 and 2011.</w:t>
      </w:r>
    </w:p>
    <w:p>
      <w:pPr>
        <w:spacing w:after="0" w:line="17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June 30, 2012 and December 31, 2011, AbbVie held $3.2 billion and $3.0 billion, respectively, of such foreign currency forward exchange contracts.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7" w:name="page278"/>
    <w:bookmarkEnd w:id="277"/>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June 30, 2012 and December 31, 2011: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Fair Value—Liabilities</w:t>
            </w:r>
          </w:p>
        </w:tc>
      </w:tr>
      <w:tr>
        <w:trPr>
          <w:trHeight w:val="124"/>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June 30</w:t>
            </w:r>
          </w:p>
        </w:tc>
        <w:tc>
          <w:tcPr>
            <w:tcW w:w="7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Dec. 31</w:t>
            </w: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6"/>
              </w:rPr>
              <w:t>June 30</w:t>
            </w:r>
          </w:p>
        </w:tc>
        <w:tc>
          <w:tcPr>
            <w:tcW w:w="214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Dec. 31</w:t>
            </w:r>
          </w:p>
        </w:tc>
      </w:t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Balance Sheet Caption</w:t>
            </w:r>
          </w:p>
        </w:tc>
      </w:tr>
      <w:tr>
        <w:trPr>
          <w:trHeight w:val="13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60" w:type="dxa"/>
            <w:vAlign w:val="bottom"/>
            <w:gridSpan w:val="5"/>
          </w:tcPr>
          <w:p>
            <w:pPr>
              <w:ind w:left="1280"/>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2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Foreign currency forward exchange contracts—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26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420" w:type="dxa"/>
            <w:vAlign w:val="bottom"/>
          </w:tcPr>
          <w:p>
            <w:pPr>
              <w:jc w:val="right"/>
              <w:ind w:right="274"/>
              <w:spacing w:after="0" w:line="144" w:lineRule="exact"/>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82"/>
              </w:rPr>
              <w:t>18</w:t>
            </w:r>
          </w:p>
        </w:tc>
        <w:tc>
          <w:tcPr>
            <w:tcW w:w="2060" w:type="dxa"/>
            <w:vAlign w:val="bottom"/>
          </w:tcPr>
          <w:p>
            <w:pPr>
              <w:spacing w:after="0" w:line="144" w:lineRule="exact"/>
              <w:rPr>
                <w:sz w:val="20"/>
                <w:szCs w:val="20"/>
                <w:color w:val="auto"/>
              </w:rPr>
            </w:pPr>
            <w:r>
              <w:rPr>
                <w:rFonts w:ascii="Arial" w:cs="Arial" w:eastAsia="Arial" w:hAnsi="Arial"/>
                <w:sz w:val="13"/>
                <w:szCs w:val="13"/>
                <w:color w:val="auto"/>
              </w:rPr>
              <w:t>Deferred income taxes,</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254"/>
              <w:spacing w:after="0" w:line="144" w:lineRule="exact"/>
              <w:rPr>
                <w:sz w:val="20"/>
                <w:szCs w:val="20"/>
                <w:color w:val="auto"/>
              </w:rPr>
            </w:pPr>
            <w:r>
              <w:rPr>
                <w:rFonts w:ascii="Arial" w:cs="Arial" w:eastAsia="Arial" w:hAnsi="Arial"/>
                <w:sz w:val="13"/>
                <w:szCs w:val="13"/>
                <w:color w:val="auto"/>
                <w:w w:val="82"/>
              </w:rPr>
              <w:t>$</w:t>
            </w:r>
          </w:p>
        </w:tc>
        <w:tc>
          <w:tcPr>
            <w:tcW w:w="17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   Other accrued liabilities</w:t>
            </w:r>
          </w:p>
        </w:tc>
      </w:tr>
      <w:tr>
        <w:trPr>
          <w:trHeight w:val="144"/>
        </w:trPr>
        <w:tc>
          <w:tcPr>
            <w:tcW w:w="26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2"/>
              </w:rPr>
              <w:t>21</w:t>
            </w:r>
          </w:p>
        </w:tc>
        <w:tc>
          <w:tcPr>
            <w:tcW w:w="2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8"/>
              </w:rPr>
              <w:t>prepaid expenses and other receivables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43</w:t>
            </w:r>
          </w:p>
        </w:tc>
        <w:tc>
          <w:tcPr>
            <w:tcW w:w="1440" w:type="dxa"/>
            <w:vAlign w:val="bottom"/>
            <w:shd w:val="clear" w:color="auto" w:fill="CCEEFF"/>
          </w:tcPr>
          <w:p>
            <w:pPr>
              <w:spacing w:after="0"/>
              <w:rPr>
                <w:sz w:val="12"/>
                <w:szCs w:val="12"/>
                <w:color w:val="auto"/>
              </w:rPr>
            </w:pPr>
          </w:p>
        </w:tc>
      </w:tr>
      <w:tr>
        <w:trPr>
          <w:trHeight w:val="26"/>
        </w:trPr>
        <w:tc>
          <w:tcPr>
            <w:tcW w:w="2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2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9"/>
                <w:szCs w:val="19"/>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39</w:t>
            </w:r>
          </w:p>
        </w:tc>
        <w:tc>
          <w:tcPr>
            <w:tcW w:w="20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16</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43</w:t>
            </w:r>
          </w:p>
        </w:tc>
        <w:tc>
          <w:tcPr>
            <w:tcW w:w="144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in the first six months of 2012 and 2011. The amount of hedge ineffectiveness was not significant in 2012 and 2011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440" w:type="dxa"/>
            <w:vAlign w:val="bottom"/>
            <w:gridSpan w:val="7"/>
          </w:tcPr>
          <w:p>
            <w:pPr>
              <w:jc w:val="center"/>
              <w:ind w:right="94"/>
              <w:spacing w:after="0" w:line="144" w:lineRule="exact"/>
              <w:rPr>
                <w:sz w:val="20"/>
                <w:szCs w:val="20"/>
                <w:color w:val="auto"/>
              </w:rPr>
            </w:pPr>
            <w:r>
              <w:rPr>
                <w:rFonts w:ascii="Arial" w:cs="Arial" w:eastAsia="Arial" w:hAnsi="Arial"/>
                <w:sz w:val="13"/>
                <w:szCs w:val="13"/>
                <w:b w:val="1"/>
                <w:bCs w:val="1"/>
                <w:color w:val="auto"/>
                <w:w w:val="89"/>
              </w:rPr>
              <w:t>Gain (loss) Recognized</w:t>
            </w: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(expense)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6"/>
              </w:rPr>
              <w:t>in 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6"/>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Reclassified into</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3"/>
                <w:szCs w:val="13"/>
                <w:b w:val="1"/>
                <w:bCs w:val="1"/>
                <w:color w:val="auto"/>
                <w:w w:val="88"/>
              </w:rPr>
              <w:t>Income (loss)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6"/>
              </w:rPr>
              <w:t>(dollars in</w:t>
            </w:r>
          </w:p>
        </w:tc>
        <w:tc>
          <w:tcPr>
            <w:tcW w:w="560" w:type="dxa"/>
            <w:vAlign w:val="bottom"/>
            <w:gridSpan w:val="3"/>
          </w:tcPr>
          <w:p>
            <w:pPr>
              <w:jc w:val="right"/>
              <w:ind w:right="14"/>
              <w:spacing w:after="0" w:line="138"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 designated as cash flow hedges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w:t>
            </w:r>
          </w:p>
        </w:tc>
        <w:tc>
          <w:tcPr>
            <w:tcW w:w="340" w:type="dxa"/>
            <w:vAlign w:val="bottom"/>
            <w:shd w:val="clear" w:color="auto" w:fill="CCEEFF"/>
          </w:tcPr>
          <w:p>
            <w:pPr>
              <w:jc w:val="right"/>
              <w:ind w:right="194"/>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82"/>
              </w:rPr>
              <w:t>8</w:t>
            </w:r>
          </w:p>
        </w:tc>
        <w:tc>
          <w:tcPr>
            <w:tcW w:w="1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Foreign currency forward exchange contracts not designated as a hedge</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560" w:type="dxa"/>
            <w:vAlign w:val="bottom"/>
            <w:gridSpan w:val="3"/>
          </w:tcPr>
          <w:p>
            <w:pPr>
              <w:jc w:val="right"/>
              <w:ind w:right="140"/>
              <w:spacing w:after="0"/>
              <w:rPr>
                <w:sz w:val="20"/>
                <w:szCs w:val="20"/>
                <w:color w:val="auto"/>
              </w:rPr>
            </w:pPr>
            <w:r>
              <w:rPr>
                <w:rFonts w:ascii="Arial" w:cs="Arial" w:eastAsia="Arial" w:hAnsi="Arial"/>
                <w:sz w:val="13"/>
                <w:szCs w:val="13"/>
                <w:color w:val="auto"/>
              </w:rPr>
              <w:t>26</w:t>
            </w:r>
          </w:p>
        </w:tc>
        <w:tc>
          <w:tcPr>
            <w:tcW w:w="1940" w:type="dxa"/>
            <w:vAlign w:val="bottom"/>
          </w:tcPr>
          <w:p>
            <w:pPr>
              <w:spacing w:after="0"/>
              <w:rPr>
                <w:sz w:val="20"/>
                <w:szCs w:val="20"/>
                <w:color w:val="auto"/>
              </w:rPr>
            </w:pPr>
            <w:r>
              <w:rPr>
                <w:rFonts w:ascii="Arial" w:cs="Arial" w:eastAsia="Arial" w:hAnsi="Arial"/>
                <w:sz w:val="13"/>
                <w:szCs w:val="13"/>
                <w:color w:val="auto"/>
              </w:rPr>
              <w:t>Net foreign exchange loss (gain)</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carrying values and fair values of certain financial instruments as of June 30, 2012 and December 31, 2011 are shown in the table below. The carrying values of all other financial instruments approximate their estimated fair values. The counterparties to financial instruments consist of select major international financial institutions. AbbVie does not expect any losses from nonperformance by these counterparties.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right"/>
              <w:ind w:right="394"/>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Pr>
          <w:p>
            <w:pPr>
              <w:spacing w:after="0"/>
              <w:rPr>
                <w:sz w:val="13"/>
                <w:szCs w:val="13"/>
                <w:color w:val="auto"/>
              </w:rPr>
            </w:pPr>
          </w:p>
        </w:tc>
        <w:tc>
          <w:tcPr>
            <w:tcW w:w="3100" w:type="dxa"/>
            <w:vAlign w:val="bottom"/>
            <w:gridSpan w:val="5"/>
          </w:tcPr>
          <w:p>
            <w:pPr>
              <w:ind w:left="40"/>
              <w:spacing w:after="0"/>
              <w:rPr>
                <w:sz w:val="20"/>
                <w:szCs w:val="20"/>
                <w:color w:val="auto"/>
              </w:rPr>
            </w:pPr>
            <w:r>
              <w:rPr>
                <w:rFonts w:ascii="Arial" w:cs="Arial" w:eastAsia="Arial" w:hAnsi="Arial"/>
                <w:sz w:val="13"/>
                <w:szCs w:val="13"/>
                <w:b w:val="1"/>
                <w:bCs w:val="1"/>
                <w:color w:val="auto"/>
              </w:rPr>
              <w:t>December 31 2011</w:t>
            </w:r>
          </w:p>
        </w:tc>
      </w:tr>
      <w:tr>
        <w:trPr>
          <w:trHeight w:val="124"/>
        </w:trPr>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3"/>
          </w:tcPr>
          <w:p>
            <w:pPr>
              <w:ind w:left="6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Value</w:t>
            </w:r>
          </w:p>
        </w:tc>
        <w:tc>
          <w:tcPr>
            <w:tcW w:w="23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 — Equity securities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w w:val="98"/>
              </w:rPr>
              <w:t>Foreign Currency Forward Exchange Contracts: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20" w:type="dxa"/>
            <w:vAlign w:val="bottom"/>
            <w:gridSpan w:val="2"/>
          </w:tcPr>
          <w:p>
            <w:pPr>
              <w:jc w:val="right"/>
              <w:ind w:right="854"/>
              <w:spacing w:after="0"/>
              <w:rPr>
                <w:sz w:val="20"/>
                <w:szCs w:val="20"/>
                <w:color w:val="auto"/>
              </w:rPr>
            </w:pPr>
            <w:r>
              <w:rPr>
                <w:rFonts w:ascii="Arial" w:cs="Arial" w:eastAsia="Arial" w:hAnsi="Arial"/>
                <w:sz w:val="17"/>
                <w:szCs w:val="17"/>
                <w:color w:val="auto"/>
              </w:rPr>
              <w:t>F-43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8" w:name="page279"/>
    <w:bookmarkEnd w:id="278"/>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bases used to measure certain assets and liabilities at fair value on a recurring basis in the balance sheet:</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June 30, 2012: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11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2011:</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payments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w:t>
      </w:r>
    </w:p>
    <w:p>
      <w:pPr>
        <w:spacing w:after="0" w:line="228"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Foreign currency translation decreased goodwill in the first six months of 2012 by approximately $127 million and foreign currency translation and other adjustments increased goodwill in the first six months of 2011 by approximately $279 million. There were no reductions of goodwill relating to impairments or disposal of all or a portion of a business.</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79" w:name="page280"/>
    <w:bookmarkEnd w:id="279"/>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1"/>
              </w:rPr>
              <w:t>December 31 2011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Gross Carrying</w:t>
            </w:r>
          </w:p>
        </w:tc>
        <w:tc>
          <w:tcPr>
            <w:tcW w:w="106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94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w w:val="95"/>
              </w:rPr>
              <w:t>Gross Carrying</w:t>
            </w:r>
          </w:p>
        </w:tc>
        <w:tc>
          <w:tcPr>
            <w:tcW w:w="100" w:type="dxa"/>
            <w:vAlign w:val="bottom"/>
          </w:tcPr>
          <w:p>
            <w:pPr>
              <w:spacing w:after="0"/>
              <w:rPr>
                <w:sz w:val="10"/>
                <w:szCs w:val="10"/>
                <w:color w:val="auto"/>
              </w:rPr>
            </w:pPr>
          </w:p>
        </w:tc>
        <w:tc>
          <w:tcPr>
            <w:tcW w:w="10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7"/>
              </w:rPr>
              <w:t>Accumulated</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4,669</w:t>
            </w:r>
          </w:p>
        </w:tc>
        <w:tc>
          <w:tcPr>
            <w:tcW w:w="300" w:type="dxa"/>
            <w:vAlign w:val="bottom"/>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1,865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2,183</w:t>
            </w: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6"/>
        </w:trPr>
        <w:tc>
          <w:tcPr>
            <w:tcW w:w="296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6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5,618</w:t>
            </w:r>
          </w:p>
        </w:tc>
        <w:tc>
          <w:tcPr>
            <w:tcW w:w="160" w:type="dxa"/>
            <w:vAlign w:val="bottom"/>
          </w:tcPr>
          <w:p>
            <w:pPr>
              <w:spacing w:after="0"/>
              <w:rPr>
                <w:sz w:val="17"/>
                <w:szCs w:val="17"/>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7"/>
                <w:szCs w:val="17"/>
                <w:color w:val="auto"/>
                <w:w w:val="96"/>
              </w:rPr>
              <w:t>In-Process 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6,032</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The estimated annual amortization expense for intangible assets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w:t>
      </w:r>
    </w:p>
    <w:p>
      <w:pPr>
        <w:spacing w:after="0" w:line="228"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In 2011 and prior years, AbbVie management approved plans to realign its worldwide manufacturing operations and selected domestic and international commercial and research and development operations in order to reduce costs. In the first six months of 2011, AbbVie recorded $36 million to Cost of products sold, $18 million to Research and development and $49 million to Selling, general and administrative. The following summarizes the activity for these restructurings: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7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3720" w:type="dxa"/>
            <w:vAlign w:val="bottom"/>
            <w:gridSpan w:val="2"/>
            <w:shd w:val="clear" w:color="auto" w:fill="CCEEFF"/>
          </w:tcPr>
          <w:p>
            <w:pPr>
              <w:jc w:val="right"/>
              <w:ind w:right="36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Restructuring charges</w:t>
            </w: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Payments and other adjustments</w:t>
            </w: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balance at June 30</w:t>
            </w:r>
          </w:p>
        </w:tc>
        <w:tc>
          <w:tcPr>
            <w:tcW w:w="3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Borders>
              <w:top w:val="single" w:sz="8" w:color="auto"/>
            </w:tcBorders>
          </w:tcPr>
          <w:p>
            <w:pPr>
              <w:jc w:val="right"/>
              <w:ind w:right="365"/>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20" w:type="dxa"/>
            <w:vAlign w:val="bottom"/>
            <w:gridSpan w:val="2"/>
          </w:tcPr>
          <w:p>
            <w:pPr>
              <w:jc w:val="right"/>
              <w:ind w:right="2505"/>
              <w:spacing w:after="0"/>
              <w:rPr>
                <w:sz w:val="20"/>
                <w:szCs w:val="20"/>
                <w:color w:val="auto"/>
              </w:rPr>
            </w:pPr>
            <w:r>
              <w:rPr>
                <w:rFonts w:ascii="Arial" w:cs="Arial" w:eastAsia="Arial" w:hAnsi="Arial"/>
                <w:sz w:val="17"/>
                <w:szCs w:val="17"/>
                <w:color w:val="auto"/>
              </w:rPr>
              <w:t>F-45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0" w:name="page281"/>
    <w:bookmarkEnd w:id="280"/>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 (Continued)</w:t>
      </w:r>
    </w:p>
    <w:p>
      <w:pPr>
        <w:spacing w:after="0" w:line="228"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An additional $30 million and $4 million were recorded in the first six months of 2012 and 2011, respectively, relating to these restructurings, primarily for accelerated depreciation and product transfer costs.</w:t>
      </w:r>
    </w:p>
    <w:p>
      <w:pPr>
        <w:spacing w:after="0" w:line="170"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The following summarizes the employee severance activity for this restructuring:</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r>
      <w:tr>
        <w:trPr>
          <w:trHeight w:val="137"/>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6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r>
      <w:tr>
        <w:trPr>
          <w:trHeight w:val="26"/>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12—Related Party Transactions</w:t>
      </w:r>
    </w:p>
    <w:p>
      <w:pPr>
        <w:spacing w:after="0" w:line="228" w:lineRule="exact"/>
        <w:rPr>
          <w:sz w:val="20"/>
          <w:szCs w:val="20"/>
          <w:color w:val="auto"/>
        </w:rPr>
      </w:pPr>
    </w:p>
    <w:p>
      <w:pPr>
        <w:jc w:val="both"/>
        <w:ind w:right="40" w:firstLine="332"/>
        <w:spacing w:after="0" w:line="293" w:lineRule="auto"/>
        <w:rPr>
          <w:sz w:val="20"/>
          <w:szCs w:val="20"/>
          <w:color w:val="auto"/>
        </w:rPr>
      </w:pPr>
      <w:r>
        <w:rPr>
          <w:rFonts w:ascii="Arial" w:cs="Arial" w:eastAsia="Arial" w:hAnsi="Arial"/>
          <w:sz w:val="15"/>
          <w:szCs w:val="15"/>
          <w:color w:val="auto"/>
        </w:rPr>
        <w:t>Abbott provides certain services to AbbVie,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condensed combined financial statements does not necessarily include all the expenses that would have been incurred had AbbVie been a separate, stand-alone entity. As such, the financial information herein may not necessarily reflect the condensed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allocation methods include relative sales, headcount, square footage, number of transactions or other measures. Excluding separation related expenses, these allocations totaled $402 million and $384 million for the six months ended June 30, 2012, and 2011, respectively. Separation related expenses totaled approximately $67 million for the six months ended June 30,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w:t>
      </w:r>
    </w:p>
    <w:p>
      <w:pPr>
        <w:spacing w:after="0" w:line="228" w:lineRule="exact"/>
        <w:rPr>
          <w:sz w:val="20"/>
          <w:szCs w:val="20"/>
          <w:color w:val="auto"/>
        </w:rPr>
      </w:pPr>
    </w:p>
    <w:p>
      <w:pPr>
        <w:ind w:firstLine="332"/>
        <w:spacing w:after="0" w:line="315" w:lineRule="auto"/>
        <w:rPr>
          <w:sz w:val="20"/>
          <w:szCs w:val="20"/>
          <w:color w:val="auto"/>
        </w:rPr>
      </w:pPr>
      <w:r>
        <w:rPr>
          <w:rFonts w:ascii="Arial" w:cs="Arial" w:eastAsia="Arial" w:hAnsi="Arial"/>
          <w:sz w:val="16"/>
          <w:szCs w:val="16"/>
          <w:color w:val="auto"/>
        </w:rPr>
        <w:t>AbbVie evaluated subsequent events for recognition or disclosure through September 4, 2012, the date on which the June 30, 2012 combined financial statements were originally issued, and the reissuance of the financial statements on October 23, 2012 (as to the next paragraph of this footnote).</w:t>
      </w:r>
    </w:p>
    <w:p>
      <w:pPr>
        <w:spacing w:after="0" w:line="146" w:lineRule="exact"/>
        <w:rPr>
          <w:sz w:val="20"/>
          <w:szCs w:val="20"/>
          <w:color w:val="auto"/>
        </w:rPr>
      </w:pPr>
    </w:p>
    <w:p>
      <w:pPr>
        <w:ind w:right="380" w:firstLine="341"/>
        <w:spacing w:after="0" w:line="352" w:lineRule="auto"/>
        <w:rPr>
          <w:sz w:val="20"/>
          <w:szCs w:val="20"/>
          <w:color w:val="auto"/>
        </w:rPr>
      </w:pPr>
      <w:r>
        <w:rPr>
          <w:rFonts w:ascii="Arial" w:cs="Arial" w:eastAsia="Arial" w:hAnsi="Arial"/>
          <w:sz w:val="15"/>
          <w:szCs w:val="15"/>
          <w:color w:val="auto"/>
        </w:rPr>
        <w:t>On October 17, 2012 Reata Pharmaceuticals informed AbbVie that it is discontinuing the Phase III clinical study, known as BEACON, designed to evaluate bardoxolone methyl in diabetic patients with advanced chronic kidney disease. The discontinuation is based on a recommendation from the study's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1" w:name="page282"/>
    <w:bookmarkEnd w:id="281"/>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Independent Data Monitoring Committee regarding safety concerns due to "excess serious adverse events and mortality in the bardoxolone methyl arm." Reata and AbbVie will closely examine the data from this study to determine whether there is an appropriate path forward for the development of bardoxolone methyl in chronic kidney disease or other indications. AbbVie has the rights to bardoxolone methyl outside the U.S., excluding certain Asian markets. At September 30, 2012, AbbVie holds a $124 million equity investment in Reata and is evaluating the impact of this event on the carrying value of the investment.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2" w:name="page283"/>
    <w:bookmarkEnd w:id="2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1)"/>
      <w:numFmt w:val="lowerRoman"/>
      <w:start w:val="1"/>
    </w:lvl>
  </w:abstractNum>
  <w:abstractNum w:abstractNumId="3">
    <w:nsid w:val="B37E80A"/>
    <w:multiLevelType w:val="hybridMultilevel"/>
    <w:lvl w:ilvl="0">
      <w:lvlJc w:val="left"/>
      <w:lvlText w:val="(%1)"/>
      <w:numFmt w:val="lowerRoman"/>
      <w:start w:val="1"/>
    </w:lvl>
  </w:abstractNum>
  <w:abstractNum w:abstractNumId="4">
    <w:nsid w:val="2157F6BC"/>
    <w:multiLevelType w:val="hybridMultilevel"/>
    <w:lvl w:ilvl="0">
      <w:lvlJc w:val="left"/>
      <w:lvlText w:val="(%1)"/>
      <w:numFmt w:val="lowerRoman"/>
      <w:start w:val="6"/>
    </w:lvl>
  </w:abstractNum>
  <w:abstractNum w:abstractNumId="5">
    <w:nsid w:val="704E1DD5"/>
    <w:multiLevelType w:val="hybridMultilevel"/>
    <w:lvl w:ilvl="0">
      <w:lvlJc w:val="left"/>
      <w:lvlText w:val="(%1)"/>
      <w:numFmt w:val="lowerRoman"/>
      <w:start w:val="8"/>
    </w:lvl>
  </w:abstractNum>
  <w:abstractNum w:abstractNumId="6">
    <w:nsid w:val="57D2F10E"/>
    <w:multiLevelType w:val="hybridMultilevel"/>
    <w:lvl w:ilvl="0">
      <w:lvlJc w:val="left"/>
      <w:lvlText w:val="(%1)"/>
      <w:numFmt w:val="lowerRoman"/>
      <w:start w:val="1"/>
    </w:lvl>
  </w:abstractNum>
  <w:abstractNum w:abstractNumId="7">
    <w:nsid w:val="BFFAE18"/>
    <w:multiLevelType w:val="hybridMultilevel"/>
    <w:lvl w:ilvl="0">
      <w:lvlJc w:val="left"/>
      <w:lvlText w:val="(%1)"/>
      <w:numFmt w:val="lowerRoman"/>
      <w:start w:val="3"/>
    </w:lvl>
  </w:abstractNum>
  <w:abstractNum w:abstractNumId="8">
    <w:nsid w:val="E3E47A8"/>
    <w:multiLevelType w:val="hybridMultilevel"/>
    <w:lvl w:ilvl="0">
      <w:lvlJc w:val="left"/>
      <w:lvlText w:val="(%1)"/>
      <w:numFmt w:val="lowerRoman"/>
      <w:start w:val="1"/>
    </w:lvl>
  </w:abstractNum>
  <w:abstractNum w:abstractNumId="9">
    <w:nsid w:val="2E48F044"/>
    <w:multiLevelType w:val="hybridMultilevel"/>
    <w:lvl w:ilvl="0">
      <w:lvlJc w:val="left"/>
      <w:lvlText w:val="(%1)"/>
      <w:numFmt w:val="lowerRoman"/>
      <w:start w:val="3"/>
    </w:lvl>
  </w:abstractNum>
  <w:abstractNum w:abstractNumId="10">
    <w:nsid w:val="49D0FEAC"/>
    <w:multiLevelType w:val="hybridMultilevel"/>
    <w:lvl w:ilvl="0">
      <w:lvlJc w:val="left"/>
      <w:lvlText w:val="(%1)"/>
      <w:numFmt w:val="lowerRoman"/>
      <w:start w:val="5"/>
    </w:lvl>
  </w:abstractNum>
  <w:abstractNum w:abstractNumId="11">
    <w:nsid w:val="4BEE5A5B"/>
    <w:multiLevelType w:val="hybridMultilevel"/>
    <w:lvl w:ilvl="0">
      <w:lvlJc w:val="left"/>
      <w:lvlText w:val="(%1)"/>
      <w:numFmt w:val="lowerRoman"/>
      <w:start w:val="6"/>
    </w:lvl>
  </w:abstractNum>
  <w:abstractNum w:abstractNumId="12">
    <w:nsid w:val="5551B9F3"/>
    <w:multiLevelType w:val="hybridMultilevel"/>
    <w:lvl w:ilvl="0">
      <w:lvlJc w:val="left"/>
      <w:lvlText w:val="(%1)"/>
      <w:numFmt w:val="lowerRoman"/>
      <w:start w:val="1"/>
    </w:lvl>
  </w:abstractNum>
  <w:abstractNum w:abstractNumId="13">
    <w:nsid w:val="24F6AB8E"/>
    <w:multiLevelType w:val="hybridMultilevel"/>
    <w:lvl w:ilvl="0">
      <w:lvlJc w:val="left"/>
      <w:lvlText w:val="(%1)"/>
      <w:numFmt w:val="lowerRoman"/>
      <w:start w:val="1"/>
    </w:lvl>
  </w:abstractNum>
  <w:abstractNum w:abstractNumId="14">
    <w:nsid w:val="634C574C"/>
    <w:multiLevelType w:val="hybridMultilevel"/>
    <w:lvl w:ilvl="0">
      <w:lvlJc w:val="left"/>
      <w:lvlText w:val="(%1)"/>
      <w:numFmt w:val="lowerRoman"/>
      <w:start w:val="2"/>
    </w:lvl>
  </w:abstractNum>
  <w:abstractNum w:abstractNumId="15">
    <w:nsid w:val="24E99DD7"/>
    <w:multiLevelType w:val="hybridMultilevel"/>
    <w:lvl w:ilvl="0">
      <w:lvlJc w:val="left"/>
      <w:lvlText w:val="(%1)"/>
      <w:numFmt w:val="lowerRoman"/>
      <w:start w:val="4"/>
    </w:lvl>
  </w:abstractNum>
  <w:abstractNum w:abstractNumId="16">
    <w:nsid w:val="2A31B62D"/>
    <w:multiLevelType w:val="hybridMultilevel"/>
    <w:lvl w:ilvl="0">
      <w:lvlJc w:val="left"/>
      <w:lvlText w:val="(%1)"/>
      <w:numFmt w:val="lowerRoman"/>
      <w:start w:val="3"/>
    </w:lvl>
  </w:abstractNum>
  <w:abstractNum w:abstractNumId="17">
    <w:nsid w:val="1849C29B"/>
    <w:multiLevelType w:val="hybridMultilevel"/>
    <w:lvl w:ilvl="0">
      <w:lvlJc w:val="left"/>
      <w:lvlText w:val="(%1)"/>
      <w:numFmt w:val="lowerLetter"/>
      <w:start w:val="1"/>
    </w:lvl>
  </w:abstractNum>
  <w:abstractNum w:abstractNumId="18">
    <w:nsid w:val="7DFF9D09"/>
    <w:multiLevelType w:val="hybridMultilevel"/>
    <w:lvl w:ilvl="0">
      <w:lvlJc w:val="left"/>
      <w:lvlText w:val="(%1)"/>
      <w:numFmt w:val="lowerLetter"/>
      <w:start w:val="3"/>
    </w:lvl>
  </w:abstractNum>
  <w:abstractNum w:abstractNumId="19">
    <w:nsid w:val="754342"/>
    <w:multiLevelType w:val="hybridMultilevel"/>
    <w:lvl w:ilvl="0">
      <w:lvlJc w:val="left"/>
      <w:lvlText w:val="(%1)"/>
      <w:numFmt w:val="lowerLetter"/>
      <w:start w:val="1"/>
    </w:lvl>
  </w:abstractNum>
  <w:abstractNum w:abstractNumId="20">
    <w:nsid w:val="69E7F3E5"/>
    <w:multiLevelType w:val="hybridMultilevel"/>
    <w:lvl w:ilvl="0">
      <w:lvlJc w:val="left"/>
      <w:lvlText w:val="(%1)"/>
      <w:numFmt w:val="lowerLetter"/>
      <w:start w:val="3"/>
    </w:lvl>
  </w:abstractNum>
  <w:abstractNum w:abstractNumId="21">
    <w:nsid w:val="2A6DE806"/>
    <w:multiLevelType w:val="hybridMultilevel"/>
    <w:lvl w:ilvl="0">
      <w:lvlJc w:val="left"/>
      <w:lvlText w:val="(%1)"/>
      <w:numFmt w:val="lowerLetter"/>
      <w:start w:val="1"/>
    </w:lvl>
  </w:abstractNum>
  <w:abstractNum w:abstractNumId="22">
    <w:nsid w:val="1816F8C4"/>
    <w:multiLevelType w:val="hybridMultilevel"/>
    <w:lvl w:ilvl="0">
      <w:lvlJc w:val="left"/>
      <w:lvlText w:val="(%1)"/>
      <w:numFmt w:val="lowerLetter"/>
      <w:start w:val="3"/>
    </w:lvl>
  </w:abstractNum>
  <w:abstractNum w:abstractNumId="23">
    <w:nsid w:val="37DF2233"/>
    <w:multiLevelType w:val="hybridMultilevel"/>
    <w:lvl w:ilvl="0">
      <w:lvlJc w:val="left"/>
      <w:lvlText w:val="(%1)"/>
      <w:numFmt w:val="decimal"/>
      <w:start w:val="30"/>
    </w:lvl>
  </w:abstractNum>
  <w:abstractNum w:abstractNumId="24">
    <w:nsid w:val="7AB49DAF"/>
    <w:multiLevelType w:val="hybridMultilevel"/>
    <w:lvl w:ilvl="0">
      <w:lvlJc w:val="left"/>
      <w:lvlText w:val="(%1)"/>
      <w:numFmt w:val="lowerLetter"/>
      <w:start w:val="1"/>
    </w:lvl>
  </w:abstractNum>
  <w:abstractNum w:abstractNumId="25">
    <w:nsid w:val="759F82CD"/>
    <w:multiLevelType w:val="hybridMultilevel"/>
    <w:lvl w:ilvl="0">
      <w:lvlJc w:val="left"/>
      <w:lvlText w:val="(%1)"/>
      <w:numFmt w:val="upperLetter"/>
      <w:start w:val="1"/>
    </w:lvl>
  </w:abstractNum>
  <w:abstractNum w:abstractNumId="26">
    <w:nsid w:val="61E74EA3"/>
    <w:multiLevelType w:val="hybridMultilevel"/>
    <w:lvl w:ilvl="0">
      <w:lvlJc w:val="left"/>
      <w:lvlText w:val="(%1)"/>
      <w:numFmt w:val="lowerLetter"/>
      <w:start w:val="1"/>
    </w:lvl>
  </w:abstractNum>
  <w:abstractNum w:abstractNumId="27">
    <w:nsid w:val="597B4D84"/>
    <w:multiLevelType w:val="hybridMultilevel"/>
    <w:lvl w:ilvl="0">
      <w:lvlJc w:val="left"/>
      <w:lvlText w:val="(%1)"/>
      <w:numFmt w:val="lowerLetter"/>
      <w:start w:val="3"/>
    </w:lvl>
    <w:lvl w:ilvl="1">
      <w:lvlJc w:val="left"/>
      <w:lvlText w:val="(%2)"/>
      <w:numFmt w:val="upperLetter"/>
      <w:start w:val="1"/>
    </w:lvl>
  </w:abstractNum>
  <w:abstractNum w:abstractNumId="28">
    <w:nsid w:val="F819E7F"/>
    <w:multiLevelType w:val="hybridMultilevel"/>
    <w:lvl w:ilvl="0">
      <w:lvlJc w:val="left"/>
      <w:lvlText w:val="(%1)"/>
      <w:numFmt w:val="lowerLetter"/>
      <w:start w:val="1"/>
    </w:lvl>
  </w:abstractNum>
  <w:abstractNum w:abstractNumId="29">
    <w:nsid w:val="57C7D42D"/>
    <w:multiLevelType w:val="hybridMultilevel"/>
    <w:lvl w:ilvl="0">
      <w:lvlJc w:val="left"/>
      <w:lvlText w:val="(%1)"/>
      <w:numFmt w:val="lowerLetter"/>
      <w:start w:val="2"/>
    </w:lvl>
  </w:abstractNum>
  <w:abstractNum w:abstractNumId="30">
    <w:nsid w:val="312167AD"/>
    <w:multiLevelType w:val="hybridMultilevel"/>
    <w:lvl w:ilvl="0">
      <w:lvlJc w:val="left"/>
      <w:lvlText w:val="(%1)"/>
      <w:numFmt w:val="lowerLetter"/>
      <w:start w:val="1"/>
    </w:lvl>
  </w:abstractNum>
  <w:abstractNum w:abstractNumId="31">
    <w:nsid w:val="631B64D4"/>
    <w:multiLevelType w:val="hybridMultilevel"/>
    <w:lvl w:ilvl="0">
      <w:lvlJc w:val="left"/>
      <w:lvlText w:val="(%1)"/>
      <w:numFmt w:val="lowerLetter"/>
      <w:start w:val="1"/>
    </w:lvl>
  </w:abstractNum>
  <w:abstractNum w:abstractNumId="32">
    <w:nsid w:val="78B5E776"/>
    <w:multiLevelType w:val="hybridMultilevel"/>
    <w:lvl w:ilvl="0">
      <w:lvlJc w:val="left"/>
      <w:lvlText w:val="(%1)"/>
      <w:numFmt w:val="lowerLetter"/>
      <w:start w:val="1"/>
    </w:lvl>
  </w:abstractNum>
  <w:abstractNum w:abstractNumId="33">
    <w:nsid w:val="75486E47"/>
    <w:multiLevelType w:val="hybridMultilevel"/>
    <w:lvl w:ilvl="0">
      <w:lvlJc w:val="left"/>
      <w:lvlText w:val="(%1)"/>
      <w:numFmt w:val="lowerLetter"/>
      <w:start w:val="5"/>
    </w:lvl>
  </w:abstractNum>
  <w:abstractNum w:abstractNumId="34">
    <w:nsid w:val="6E534CDE"/>
    <w:multiLevelType w:val="hybridMultilevel"/>
    <w:lvl w:ilvl="0">
      <w:lvlJc w:val="left"/>
      <w:lvlText w:val="(%1)"/>
      <w:numFmt w:val="lowerLetter"/>
      <w:start w:val="1"/>
    </w:lvl>
    <w:lvl w:ilvl="1">
      <w:lvlJc w:val="left"/>
      <w:lvlText w:val="(%2)"/>
      <w:numFmt w:val="lowerRoman"/>
      <w:start w:val="1"/>
    </w:lvl>
  </w:abstractNum>
  <w:abstractNum w:abstractNumId="35">
    <w:nsid w:val="1A0DDE32"/>
    <w:multiLevelType w:val="hybridMultilevel"/>
    <w:lvl w:ilvl="0">
      <w:lvlJc w:val="left"/>
      <w:lvlText w:val="(%1)"/>
      <w:numFmt w:val="lowerLetter"/>
      <w:start w:val="2"/>
    </w:lvl>
    <w:lvl w:ilvl="1">
      <w:lvlJc w:val="left"/>
      <w:lvlText w:val="(%2)"/>
      <w:numFmt w:val="lowerRoman"/>
      <w:start w:val="1"/>
    </w:lvl>
  </w:abstractNum>
  <w:abstractNum w:abstractNumId="36">
    <w:nsid w:val="65968C1C"/>
    <w:multiLevelType w:val="hybridMultilevel"/>
    <w:lvl w:ilvl="0">
      <w:lvlJc w:val="left"/>
      <w:lvlText w:val="(%1)"/>
      <w:numFmt w:val="lowerRoman"/>
      <w:start w:val="2"/>
    </w:lvl>
    <w:lvl w:ilvl="1">
      <w:lvlJc w:val="left"/>
      <w:lvlText w:val="(%2)"/>
      <w:numFmt w:val="upperLetter"/>
      <w:start w:val="1"/>
    </w:lvl>
  </w:abstractNum>
  <w:abstractNum w:abstractNumId="37">
    <w:nsid w:val="46263DE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38">
    <w:nsid w:val="260D8C4A"/>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39">
    <w:nsid w:val="73D4D3C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0">
    <w:nsid w:val="746F2E30"/>
    <w:multiLevelType w:val="hybridMultilevel"/>
    <w:lvl w:ilvl="0">
      <w:lvlJc w:val="left"/>
      <w:lvlText w:val="%1"/>
      <w:numFmt w:val="lowerLetter"/>
      <w:start w:val="1"/>
    </w:lvl>
    <w:lvl w:ilvl="1">
      <w:lvlJc w:val="left"/>
      <w:lvlText w:val="(%2)"/>
      <w:numFmt w:val="lowerLetter"/>
      <w:start w:val="1"/>
    </w:lvl>
  </w:abstractNum>
  <w:abstractNum w:abstractNumId="41">
    <w:nsid w:val="6FDE8AF6"/>
    <w:multiLevelType w:val="hybridMultilevel"/>
    <w:lvl w:ilvl="0">
      <w:lvlJc w:val="left"/>
      <w:lvlText w:val="(%1)"/>
      <w:numFmt w:val="lowerLetter"/>
      <w:start w:val="35"/>
    </w:lvl>
    <w:lvl w:ilvl="1">
      <w:lvlJc w:val="left"/>
      <w:lvlText w:val="%2"/>
      <w:numFmt w:val="lowerLetter"/>
      <w:start w:val="1"/>
    </w:lvl>
  </w:abstractNum>
  <w:abstractNum w:abstractNumId="42">
    <w:nsid w:val="3FC32E20"/>
    <w:multiLevelType w:val="hybridMultilevel"/>
    <w:lvl w:ilvl="0">
      <w:lvlJc w:val="left"/>
      <w:lvlText w:val="(%1)"/>
      <w:numFmt w:val="lowerLetter"/>
      <w:start w:val="2"/>
    </w:lvl>
  </w:abstractNum>
  <w:abstractNum w:abstractNumId="43">
    <w:nsid w:val="49C0E823"/>
    <w:multiLevelType w:val="hybridMultilevel"/>
    <w:lvl w:ilvl="0">
      <w:lvlJc w:val="left"/>
      <w:lvlText w:val="(%1)"/>
      <w:numFmt w:val="lowerLetter"/>
      <w:start w:val="1"/>
    </w:lvl>
  </w:abstractNum>
  <w:abstractNum w:abstractNumId="44">
    <w:nsid w:val="14D53685"/>
    <w:multiLevelType w:val="hybridMultilevel"/>
    <w:lvl w:ilvl="0">
      <w:lvlJc w:val="left"/>
      <w:lvlText w:val="(%1)"/>
      <w:numFmt w:val="lowerLetter"/>
      <w:start w:val="3"/>
    </w:lvl>
  </w:abstractNum>
  <w:abstractNum w:abstractNumId="45">
    <w:nsid w:val="230F856C"/>
    <w:multiLevelType w:val="hybridMultilevel"/>
    <w:lvl w:ilvl="0">
      <w:lvlJc w:val="left"/>
      <w:lvlText w:val="(%1)"/>
      <w:numFmt w:val="lowerLetter"/>
      <w:start w:val="1"/>
    </w:lvl>
  </w:abstractNum>
  <w:abstractNum w:abstractNumId="46">
    <w:nsid w:val="6EAA85FB"/>
    <w:multiLevelType w:val="hybridMultilevel"/>
    <w:lvl w:ilvl="0">
      <w:lvlJc w:val="left"/>
      <w:lvlText w:val="(%1)"/>
      <w:numFmt w:val="lowerLetter"/>
      <w:start w:val="1"/>
    </w:lvl>
  </w:abstractNum>
  <w:abstractNum w:abstractNumId="47">
    <w:nsid w:val="3F06ECB2"/>
    <w:multiLevelType w:val="hybridMultilevel"/>
    <w:lvl w:ilvl="0">
      <w:lvlJc w:val="left"/>
      <w:lvlText w:val="(%1)"/>
      <w:numFmt w:val="lowerRoman"/>
      <w:start w:val="1"/>
    </w:lvl>
  </w:abstractNum>
  <w:abstractNum w:abstractNumId="48">
    <w:nsid w:val="3B594807"/>
    <w:multiLevelType w:val="hybridMultilevel"/>
    <w:lvl w:ilvl="0">
      <w:lvlJc w:val="left"/>
      <w:lvlText w:val="%1"/>
      <w:numFmt w:val="lowerLetter"/>
      <w:start w:val="1"/>
    </w:lvl>
    <w:lvl w:ilvl="1">
      <w:lvlJc w:val="left"/>
      <w:lvlText w:val="(%2)"/>
      <w:numFmt w:val="lowerLetter"/>
      <w:start w:val="35"/>
    </w:lvl>
  </w:abstractNum>
  <w:abstractNum w:abstractNumId="49">
    <w:nsid w:val="6CAA2304"/>
    <w:multiLevelType w:val="hybridMultilevel"/>
    <w:lvl w:ilvl="0">
      <w:lvlJc w:val="left"/>
      <w:lvlText w:val="(%1)"/>
      <w:numFmt w:val="lowerLetter"/>
      <w:start w:val="4"/>
    </w:lvl>
    <w:lvl w:ilvl="1">
      <w:lvlJc w:val="left"/>
      <w:lvlText w:val="%2"/>
      <w:numFmt w:val="lowerLetter"/>
      <w:start w:val="1"/>
    </w:lvl>
  </w:abstractNum>
  <w:abstractNum w:abstractNumId="50">
    <w:nsid w:val="3F7C2FF4"/>
    <w:multiLevelType w:val="hybridMultilevel"/>
    <w:lvl w:ilvl="0">
      <w:lvlJc w:val="left"/>
      <w:lvlText w:val="(%1)"/>
      <w:numFmt w:val="lowerLetter"/>
      <w:start w:val="1"/>
    </w:lvl>
  </w:abstractNum>
  <w:abstractNum w:abstractNumId="51">
    <w:nsid w:val="25413BEC"/>
    <w:multiLevelType w:val="hybridMultilevel"/>
    <w:lvl w:ilvl="0">
      <w:lvlJc w:val="left"/>
      <w:lvlText w:val="(%1)"/>
      <w:numFmt w:val="lowerLetter"/>
      <w:start w:val="1"/>
    </w:lvl>
    <w:lvl w:ilvl="1">
      <w:lvlJc w:val="left"/>
      <w:lvlText w:val="(%2)"/>
      <w:numFmt w:val="lowerRoman"/>
      <w:start w:val="1"/>
    </w:lvl>
  </w:abstractNum>
  <w:abstractNum w:abstractNumId="52">
    <w:nsid w:val="17180B0B"/>
    <w:multiLevelType w:val="hybridMultilevel"/>
    <w:lvl w:ilvl="0">
      <w:lvlJc w:val="left"/>
      <w:lvlText w:val="(%1)"/>
      <w:numFmt w:val="lowerRoman"/>
      <w:start w:val="5"/>
    </w:lvl>
  </w:abstractNum>
  <w:abstractNum w:abstractNumId="53">
    <w:nsid w:val="579328B9"/>
    <w:multiLevelType w:val="hybridMultilevel"/>
    <w:lvl w:ilvl="0">
      <w:lvlJc w:val="left"/>
      <w:lvlText w:val="(%1)"/>
      <w:numFmt w:val="lowerRoman"/>
      <w:start w:val="6"/>
    </w:lvl>
  </w:abstractNum>
  <w:abstractNum w:abstractNumId="54">
    <w:nsid w:val="5D205E20"/>
    <w:multiLevelType w:val="hybridMultilevel"/>
    <w:lvl w:ilvl="0">
      <w:lvlJc w:val="left"/>
      <w:lvlText w:val="(%1)"/>
      <w:numFmt w:val="lowerRoman"/>
      <w:start w:val="7"/>
    </w:lvl>
  </w:abstractNum>
  <w:abstractNum w:abstractNumId="55">
    <w:nsid w:val="11CCA8BA"/>
    <w:multiLevelType w:val="hybridMultilevel"/>
    <w:lvl w:ilvl="0">
      <w:lvlJc w:val="left"/>
      <w:lvlText w:val="(%1)"/>
      <w:numFmt w:val="lowerLetter"/>
      <w:start w:val="2"/>
    </w:lvl>
  </w:abstractNum>
  <w:abstractNum w:abstractNumId="56">
    <w:nsid w:val="4D32AB86"/>
    <w:multiLevelType w:val="hybridMultilevel"/>
    <w:lvl w:ilvl="0">
      <w:lvlJc w:val="left"/>
      <w:lvlText w:val="(%1)"/>
      <w:numFmt w:val="lowerLetter"/>
      <w:start w:val="1"/>
    </w:lvl>
    <w:lvl w:ilvl="1">
      <w:lvlJc w:val="left"/>
      <w:lvlText w:val="(%2)"/>
      <w:numFmt w:val="lowerRoman"/>
      <w:start w:val="1"/>
    </w:lvl>
  </w:abstractNum>
  <w:abstractNum w:abstractNumId="57">
    <w:nsid w:val="3F07ACC3"/>
    <w:multiLevelType w:val="hybridMultilevel"/>
    <w:lvl w:ilvl="0">
      <w:lvlJc w:val="left"/>
      <w:lvlText w:val="(%1)"/>
      <w:numFmt w:val="lowerLetter"/>
      <w:start w:val="2"/>
    </w:lvl>
  </w:abstractNum>
  <w:abstractNum w:abstractNumId="58">
    <w:nsid w:val="6B47F63E"/>
    <w:multiLevelType w:val="hybridMultilevel"/>
    <w:lvl w:ilvl="0">
      <w:lvlJc w:val="left"/>
      <w:lvlText w:val="(%1)"/>
      <w:numFmt w:val="lowerRoman"/>
      <w:start w:val="1"/>
    </w:lvl>
  </w:abstractNum>
  <w:abstractNum w:abstractNumId="59">
    <w:nsid w:val="5CB44A05"/>
    <w:multiLevelType w:val="hybridMultilevel"/>
    <w:lvl w:ilvl="0">
      <w:lvlJc w:val="left"/>
      <w:lvlText w:val="%1"/>
      <w:numFmt w:val="upperLetter"/>
      <w:start w:val="1"/>
    </w:lvl>
    <w:lvl w:ilvl="1">
      <w:lvlJc w:val="left"/>
      <w:lvlText w:val="(%2)"/>
      <w:numFmt w:val="lowerLetter"/>
      <w:start w:val="3"/>
    </w:lvl>
  </w:abstractNum>
  <w:abstractNum w:abstractNumId="60">
    <w:nsid w:val="16CF80F1"/>
    <w:multiLevelType w:val="hybridMultilevel"/>
    <w:lvl w:ilvl="0">
      <w:lvlJc w:val="left"/>
      <w:lvlText w:val="(%1)"/>
      <w:numFmt w:val="upperLetter"/>
      <w:start w:val="2"/>
    </w:lvl>
    <w:lvl w:ilvl="1">
      <w:lvlJc w:val="left"/>
      <w:lvlText w:val="%2"/>
      <w:numFmt w:val="lowerLetter"/>
      <w:start w:val="1"/>
    </w:lvl>
  </w:abstractNum>
  <w:abstractNum w:abstractNumId="61">
    <w:nsid w:val="1C695DEC"/>
    <w:multiLevelType w:val="hybridMultilevel"/>
    <w:lvl w:ilvl="0">
      <w:lvlJc w:val="left"/>
      <w:lvlText w:val="(%1)"/>
      <w:numFmt w:val="lowerLetter"/>
      <w:start w:val="4"/>
    </w:lvl>
  </w:abstractNum>
  <w:abstractNum w:abstractNumId="62">
    <w:nsid w:val="3FCFAED9"/>
    <w:multiLevelType w:val="hybridMultilevel"/>
    <w:lvl w:ilvl="0">
      <w:lvlJc w:val="left"/>
      <w:lvlText w:val="%1"/>
      <w:numFmt w:val="lowerLetter"/>
      <w:start w:val="1"/>
    </w:lvl>
    <w:lvl w:ilvl="1">
      <w:lvlJc w:val="left"/>
      <w:lvlText w:val="(%2)"/>
      <w:numFmt w:val="lowerLetter"/>
      <w:start w:val="1"/>
    </w:lvl>
  </w:abstractNum>
  <w:abstractNum w:abstractNumId="63">
    <w:nsid w:val="F856867"/>
    <w:multiLevelType w:val="hybridMultilevel"/>
    <w:lvl w:ilvl="0">
      <w:lvlJc w:val="left"/>
      <w:lvlText w:val="(%1)"/>
      <w:numFmt w:val="lowerLetter"/>
      <w:start w:val="61"/>
    </w:lvl>
    <w:lvl w:ilvl="1">
      <w:lvlJc w:val="left"/>
      <w:lvlText w:val="%2"/>
      <w:numFmt w:val="lowerLetter"/>
      <w:start w:val="1"/>
    </w:lvl>
  </w:abstractNum>
  <w:abstractNum w:abstractNumId="64">
    <w:nsid w:val="11B1CC33"/>
    <w:multiLevelType w:val="hybridMultilevel"/>
    <w:lvl w:ilvl="0">
      <w:lvlJc w:val="left"/>
      <w:lvlText w:val="(%1)"/>
      <w:numFmt w:val="lowerLetter"/>
      <w:start w:val="2"/>
    </w:lvl>
  </w:abstractNum>
  <w:abstractNum w:abstractNumId="65">
    <w:nsid w:val="2E22FBB7"/>
    <w:multiLevelType w:val="hybridMultilevel"/>
    <w:lvl w:ilvl="0">
      <w:lvlJc w:val="left"/>
      <w:lvlText w:val="(%1)"/>
      <w:numFmt w:val="lowerLetter"/>
      <w:start w:val="1"/>
    </w:lvl>
  </w:abstractNum>
  <w:abstractNum w:abstractNumId="66">
    <w:nsid w:val="29934699"/>
    <w:multiLevelType w:val="hybridMultilevel"/>
    <w:lvl w:ilvl="0">
      <w:lvlJc w:val="left"/>
      <w:lvlText w:val="(%1)"/>
      <w:numFmt w:val="lowerLetter"/>
      <w:start w:val="2"/>
    </w:lvl>
  </w:abstractNum>
  <w:abstractNum w:abstractNumId="67">
    <w:nsid w:val="77485850"/>
    <w:multiLevelType w:val="hybridMultilevel"/>
    <w:lvl w:ilvl="0">
      <w:lvlJc w:val="left"/>
      <w:lvlText w:val="(%1)"/>
      <w:numFmt w:val="lowerLetter"/>
      <w:start w:val="5"/>
    </w:lvl>
  </w:abstractNum>
  <w:abstractNum w:abstractNumId="68">
    <w:nsid w:val="744939A3"/>
    <w:multiLevelType w:val="hybridMultilevel"/>
    <w:lvl w:ilvl="0">
      <w:lvlJc w:val="left"/>
      <w:lvlText w:val="(%1)"/>
      <w:numFmt w:val="lowerLetter"/>
      <w:start w:val="6"/>
    </w:lvl>
  </w:abstractNum>
  <w:abstractNum w:abstractNumId="69">
    <w:nsid w:val="4FA0D2E3"/>
    <w:multiLevelType w:val="hybridMultilevel"/>
    <w:lvl w:ilvl="0">
      <w:lvlJc w:val="left"/>
      <w:lvlText w:val="(%1)"/>
      <w:numFmt w:val="lowerLetter"/>
      <w:start w:val="1"/>
    </w:lvl>
  </w:abstractNum>
  <w:abstractNum w:abstractNumId="70">
    <w:nsid w:val="6B1D2C14"/>
    <w:multiLevelType w:val="hybridMultilevel"/>
    <w:lvl w:ilvl="0">
      <w:lvlJc w:val="left"/>
      <w:lvlText w:val="%1"/>
      <w:numFmt w:val="lowerLetter"/>
      <w:start w:val="1"/>
    </w:lvl>
    <w:lvl w:ilvl="1">
      <w:lvlJc w:val="left"/>
      <w:lvlText w:val="(%2)"/>
      <w:numFmt w:val="lowerLetter"/>
      <w:start w:val="2"/>
    </w:lvl>
  </w:abstractNum>
  <w:abstractNum w:abstractNumId="71">
    <w:nsid w:val="68B867D3"/>
    <w:multiLevelType w:val="hybridMultilevel"/>
    <w:lvl w:ilvl="0">
      <w:lvlJc w:val="left"/>
      <w:lvlText w:val="(%1)"/>
      <w:numFmt w:val="lowerLetter"/>
      <w:start w:val="35"/>
    </w:lvl>
    <w:lvl w:ilvl="1">
      <w:lvlJc w:val="left"/>
      <w:lvlText w:val="(%2)"/>
      <w:numFmt w:val="lowerLetter"/>
      <w:start w:val="5"/>
    </w:lvl>
  </w:abstractNum>
  <w:abstractNum w:abstractNumId="72">
    <w:nsid w:val="3F7F5DD9"/>
    <w:multiLevelType w:val="hybridMultilevel"/>
    <w:lvl w:ilvl="0">
      <w:lvlJc w:val="left"/>
      <w:lvlText w:val="(%1)"/>
      <w:numFmt w:val="lowerLetter"/>
      <w:start w:val="1"/>
    </w:lvl>
  </w:abstractNum>
  <w:abstractNum w:abstractNumId="73">
    <w:nsid w:val="2AE05A34"/>
    <w:multiLevelType w:val="hybridMultilevel"/>
    <w:lvl w:ilvl="0">
      <w:lvlJc w:val="left"/>
      <w:lvlText w:val="(%1)"/>
      <w:numFmt w:val="lowerLetter"/>
      <w:start w:val="3"/>
    </w:lvl>
  </w:abstractNum>
  <w:abstractNum w:abstractNumId="74">
    <w:nsid w:val="32794FF7"/>
    <w:multiLevelType w:val="hybridMultilevel"/>
    <w:lvl w:ilvl="0">
      <w:lvlJc w:val="left"/>
      <w:lvlText w:val="(%1)"/>
      <w:numFmt w:val="lowerLetter"/>
      <w:start w:val="1"/>
    </w:lvl>
  </w:abstractNum>
  <w:abstractNum w:abstractNumId="75">
    <w:nsid w:val="5454945E"/>
    <w:multiLevelType w:val="hybridMultilevel"/>
    <w:lvl w:ilvl="0">
      <w:lvlJc w:val="left"/>
      <w:lvlText w:val="%1"/>
      <w:numFmt w:val="lowerLetter"/>
      <w:start w:val="1"/>
    </w:lvl>
    <w:lvl w:ilvl="1">
      <w:lvlJc w:val="left"/>
      <w:lvlText w:val="(%2)"/>
      <w:numFmt w:val="lowerLetter"/>
      <w:start w:val="2"/>
    </w:lvl>
  </w:abstractNum>
  <w:abstractNum w:abstractNumId="76">
    <w:nsid w:val="4DEFDFA0"/>
    <w:multiLevelType w:val="hybridMultilevel"/>
    <w:lvl w:ilvl="0">
      <w:lvlJc w:val="left"/>
      <w:lvlText w:val="(%1)"/>
      <w:numFmt w:val="lowerLetter"/>
      <w:start w:val="35"/>
    </w:lvl>
    <w:lvl w:ilvl="1">
      <w:lvlJc w:val="left"/>
      <w:lvlText w:val="%2"/>
      <w:numFmt w:val="lowerLetter"/>
      <w:start w:val="1"/>
    </w:lvl>
  </w:abstractNum>
  <w:abstractNum w:abstractNumId="77">
    <w:nsid w:val="2123D5F2"/>
    <w:multiLevelType w:val="hybridMultilevel"/>
    <w:lvl w:ilvl="0">
      <w:lvlJc w:val="left"/>
      <w:lvlText w:val="(%1)"/>
      <w:numFmt w:val="lowerLetter"/>
      <w:start w:val="1"/>
    </w:lvl>
    <w:lvl w:ilvl="1">
      <w:lvlJc w:val="left"/>
      <w:lvlText w:val="(%2)"/>
      <w:numFmt w:val="lowerLetter"/>
      <w:start w:val="9"/>
    </w:lvl>
  </w:abstractNum>
  <w:abstractNum w:abstractNumId="78">
    <w:nsid w:val="135B8110"/>
    <w:multiLevelType w:val="hybridMultilevel"/>
    <w:lvl w:ilvl="0">
      <w:lvlJc w:val="left"/>
      <w:lvlText w:val="(%1)"/>
      <w:numFmt w:val="lowerRoman"/>
      <w:start w:val="2"/>
    </w:lvl>
  </w:abstractNum>
  <w:abstractNum w:abstractNumId="79">
    <w:nsid w:val="94927A8"/>
    <w:multiLevelType w:val="hybridMultilevel"/>
    <w:lvl w:ilvl="0">
      <w:lvlJc w:val="left"/>
      <w:lvlText w:val="(%1)"/>
      <w:numFmt w:val="lowerRoman"/>
      <w:start w:val="3"/>
    </w:lvl>
  </w:abstractNum>
  <w:abstractNum w:abstractNumId="80">
    <w:nsid w:val="DCDF8F6"/>
    <w:multiLevelType w:val="hybridMultilevel"/>
    <w:lvl w:ilvl="0">
      <w:lvlJc w:val="left"/>
      <w:lvlText w:val="(%1)"/>
      <w:numFmt w:val="lowerLetter"/>
      <w:start w:val="3"/>
    </w:lvl>
  </w:abstractNum>
  <w:abstractNum w:abstractNumId="81">
    <w:nsid w:val="52D7B105"/>
    <w:multiLevelType w:val="hybridMultilevel"/>
    <w:lvl w:ilvl="0">
      <w:lvlJc w:val="left"/>
      <w:lvlText w:val="(%1)"/>
      <w:numFmt w:val="lowerLetter"/>
      <w:start w:val="5"/>
    </w:lvl>
  </w:abstractNum>
  <w:abstractNum w:abstractNumId="82">
    <w:nsid w:val="2E8A6394"/>
    <w:multiLevelType w:val="hybridMultilevel"/>
    <w:lvl w:ilvl="0">
      <w:lvlJc w:val="left"/>
      <w:lvlText w:val="(%1)"/>
      <w:numFmt w:val="lowerLetter"/>
      <w:start w:val="1"/>
    </w:lvl>
    <w:lvl w:ilvl="1">
      <w:lvlJc w:val="left"/>
      <w:lvlText w:val="(%2)"/>
      <w:numFmt w:val="lowerRoman"/>
      <w:start w:val="1"/>
    </w:lvl>
  </w:abstractNum>
  <w:abstractNum w:abstractNumId="83">
    <w:nsid w:val="24E60401"/>
    <w:multiLevelType w:val="hybridMultilevel"/>
    <w:lvl w:ilvl="0">
      <w:lvlJc w:val="left"/>
      <w:lvlText w:val="(%1)"/>
      <w:numFmt w:val="lowerLetter"/>
      <w:start w:val="35"/>
    </w:lvl>
    <w:lvl w:ilvl="1">
      <w:lvlJc w:val="left"/>
      <w:lvlText w:val="(%2)"/>
      <w:numFmt w:val="lowerLetter"/>
      <w:start w:val="3"/>
    </w:lvl>
  </w:abstractNum>
  <w:abstractNum w:abstractNumId="84">
    <w:nsid w:val="2A6AD9BE"/>
    <w:multiLevelType w:val="hybridMultilevel"/>
    <w:lvl w:ilvl="0">
      <w:lvlJc w:val="left"/>
      <w:lvlText w:val="(%1)"/>
      <w:numFmt w:val="lowerLetter"/>
      <w:start w:val="6"/>
    </w:lvl>
    <w:lvl w:ilvl="1">
      <w:lvlJc w:val="left"/>
      <w:lvlText w:val="(%2)"/>
      <w:numFmt w:val="lowerRoman"/>
      <w:start w:val="1"/>
    </w:lvl>
  </w:abstractNum>
  <w:abstractNum w:abstractNumId="85">
    <w:nsid w:val="BAAC1B4"/>
    <w:multiLevelType w:val="hybridMultilevel"/>
    <w:lvl w:ilvl="0">
      <w:lvlJc w:val="left"/>
      <w:lvlText w:val="%1"/>
      <w:numFmt w:val="lowerLetter"/>
      <w:start w:val="1"/>
    </w:lvl>
    <w:lvl w:ilvl="1">
      <w:lvlJc w:val="left"/>
      <w:lvlText w:val="(%2)"/>
      <w:numFmt w:val="lowerLetter"/>
      <w:start w:val="61"/>
    </w:lvl>
  </w:abstractNum>
  <w:abstractNum w:abstractNumId="86">
    <w:nsid w:val="36B2ACBC"/>
    <w:multiLevelType w:val="hybridMultilevel"/>
    <w:lvl w:ilvl="0">
      <w:lvlJc w:val="left"/>
      <w:lvlText w:val="(%1)"/>
      <w:numFmt w:val="lowerLetter"/>
      <w:start w:val="8"/>
    </w:lvl>
    <w:lvl w:ilvl="1">
      <w:lvlJc w:val="left"/>
      <w:lvlText w:val="%2"/>
      <w:numFmt w:val="lowerLetter"/>
      <w:start w:val="1"/>
    </w:lvl>
  </w:abstractNum>
  <w:abstractNum w:abstractNumId="87">
    <w:nsid w:val="779D8544"/>
    <w:multiLevelType w:val="hybridMultilevel"/>
    <w:lvl w:ilvl="0">
      <w:lvlJc w:val="left"/>
      <w:lvlText w:val="(%1)"/>
      <w:numFmt w:val="lowerLetter"/>
      <w:start w:val="1"/>
    </w:lvl>
  </w:abstractNum>
  <w:abstractNum w:abstractNumId="88">
    <w:nsid w:val="4AB26E78"/>
    <w:multiLevelType w:val="hybridMultilevel"/>
    <w:lvl w:ilvl="0">
      <w:lvlJc w:val="left"/>
      <w:lvlText w:val="(%1)"/>
      <w:numFmt w:val="lowerLetter"/>
      <w:start w:val="35"/>
    </w:lvl>
    <w:lvl w:ilvl="1">
      <w:lvlJc w:val="left"/>
      <w:lvlText w:val="(%2)"/>
      <w:numFmt w:val="lowerLetter"/>
      <w:start w:val="2"/>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1"/>
    </w:lvl>
  </w:abstractNum>
  <w:abstractNum w:abstractNumId="91">
    <w:nsid w:val="6181EF69"/>
    <w:multiLevelType w:val="hybridMultilevel"/>
    <w:lvl w:ilvl="0">
      <w:lvlJc w:val="left"/>
      <w:lvlText w:val="(%1)"/>
      <w:numFmt w:val="lowerLetter"/>
      <w:start w:val="1"/>
    </w:lvl>
    <w:lvl w:ilvl="1">
      <w:lvlJc w:val="left"/>
      <w:lvlText w:val="(%2)"/>
      <w:numFmt w:val="lowerLetter"/>
      <w:start w:val="9"/>
    </w:lvl>
  </w:abstractNum>
  <w:abstractNum w:abstractNumId="92">
    <w:nsid w:val="3E6400E6"/>
    <w:multiLevelType w:val="hybridMultilevel"/>
    <w:lvl w:ilvl="0">
      <w:lvlJc w:val="left"/>
      <w:lvlText w:val="%1"/>
      <w:numFmt w:val="lowerLetter"/>
      <w:start w:val="1"/>
    </w:lvl>
    <w:lvl w:ilvl="1">
      <w:lvlJc w:val="left"/>
      <w:lvlText w:val="(%2)"/>
      <w:numFmt w:val="lowerRoman"/>
      <w:start w:val="2"/>
    </w:lvl>
  </w:abstractNum>
  <w:abstractNum w:abstractNumId="93">
    <w:nsid w:val="14217E23"/>
    <w:multiLevelType w:val="hybridMultilevel"/>
    <w:lvl w:ilvl="0">
      <w:lvlJc w:val="left"/>
      <w:lvlText w:val="(%1)"/>
      <w:numFmt w:val="lowerLetter"/>
      <w:start w:val="3"/>
    </w:lvl>
    <w:lvl w:ilvl="1">
      <w:lvlJc w:val="left"/>
      <w:lvlText w:val="%2"/>
      <w:numFmt w:val="lowerRoman"/>
      <w:start w:val="1"/>
    </w:lvl>
  </w:abstractNum>
  <w:abstractNum w:abstractNumId="94">
    <w:nsid w:val="710757D0"/>
    <w:multiLevelType w:val="hybridMultilevel"/>
    <w:lvl w:ilvl="0">
      <w:lvlJc w:val="left"/>
      <w:lvlText w:val="(%1)"/>
      <w:numFmt w:val="lowerLetter"/>
      <w:start w:val="6"/>
    </w:lvl>
  </w:abstractNum>
  <w:abstractNum w:abstractNumId="95">
    <w:nsid w:val="5015CD1A"/>
    <w:multiLevelType w:val="hybridMultilevel"/>
    <w:lvl w:ilvl="0">
      <w:lvlJc w:val="left"/>
      <w:lvlText w:val="(%1)"/>
      <w:numFmt w:val="lowerLetter"/>
      <w:start w:val="8"/>
    </w:lvl>
  </w:abstractNum>
  <w:abstractNum w:abstractNumId="96">
    <w:nsid w:val="424479DA"/>
    <w:multiLevelType w:val="hybridMultilevel"/>
    <w:lvl w:ilvl="0">
      <w:lvlJc w:val="left"/>
      <w:lvlText w:val="(%1)"/>
      <w:numFmt w:val="lowerLetter"/>
      <w:start w:val="1"/>
    </w:lvl>
  </w:abstractNum>
  <w:abstractNum w:abstractNumId="97">
    <w:nsid w:val="1A9A9E69"/>
    <w:multiLevelType w:val="hybridMultilevel"/>
    <w:lvl w:ilvl="0">
      <w:lvlJc w:val="left"/>
      <w:lvlText w:val="(%1)"/>
      <w:numFmt w:val="lowerLetter"/>
      <w:start w:val="2"/>
    </w:lvl>
  </w:abstractNum>
  <w:abstractNum w:abstractNumId="98">
    <w:nsid w:val="475E256A"/>
    <w:multiLevelType w:val="hybridMultilevel"/>
    <w:lvl w:ilvl="0">
      <w:lvlJc w:val="left"/>
      <w:lvlText w:val="(%1)"/>
      <w:numFmt w:val="lowerLetter"/>
      <w:start w:val="1"/>
    </w:lvl>
    <w:lvl w:ilvl="1">
      <w:lvlJc w:val="left"/>
      <w:lvlText w:val="(%2)"/>
      <w:numFmt w:val="lowerLetter"/>
      <w:start w:val="9"/>
    </w:lvl>
  </w:abstractNum>
  <w:abstractNum w:abstractNumId="99">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0">
    <w:nsid w:val="6A3B714C"/>
    <w:multiLevelType w:val="hybridMultilevel"/>
    <w:lvl w:ilvl="0">
      <w:lvlJc w:val="left"/>
      <w:lvlText w:val="(%1)"/>
      <w:numFmt w:val="decimal"/>
      <w:start w:val="21"/>
    </w:lvl>
    <w:lvl w:ilvl="1">
      <w:lvlJc w:val="left"/>
      <w:lvlText w:val="(%2)"/>
      <w:numFmt w:val="lowerLetter"/>
      <w:start w:val="2"/>
    </w:lvl>
    <w:lvl w:ilvl="2">
      <w:lvlJc w:val="left"/>
      <w:lvlText w:val="%3"/>
      <w:numFmt w:val="lowerLetter"/>
      <w:start w:val="1"/>
    </w:lvl>
  </w:abstractNum>
  <w:abstractNum w:abstractNumId="101">
    <w:nsid w:val="327B517E"/>
    <w:multiLevelType w:val="hybridMultilevel"/>
    <w:lvl w:ilvl="0">
      <w:lvlJc w:val="left"/>
      <w:lvlText w:val="(%1)"/>
      <w:numFmt w:val="lowerLetter"/>
      <w:start w:val="1"/>
    </w:lvl>
    <w:lvl w:ilvl="1">
      <w:lvlJc w:val="left"/>
      <w:lvlText w:val="(%2)"/>
      <w:numFmt w:val="lowerLetter"/>
      <w:start w:val="9"/>
    </w:lvl>
  </w:abstractNum>
  <w:abstractNum w:abstractNumId="102">
    <w:nsid w:val="1F461B51"/>
    <w:multiLevelType w:val="hybridMultilevel"/>
    <w:lvl w:ilvl="0">
      <w:lvlJc w:val="left"/>
      <w:lvlText w:val="%1"/>
      <w:numFmt w:val="lowerLetter"/>
      <w:start w:val="1"/>
    </w:lvl>
    <w:lvl w:ilvl="1">
      <w:lvlJc w:val="left"/>
      <w:lvlText w:val="(%2)"/>
      <w:numFmt w:val="lowerLetter"/>
      <w:start w:val="35"/>
    </w:lvl>
  </w:abstractNum>
  <w:abstractNum w:abstractNumId="103">
    <w:nsid w:val="29BACF25"/>
    <w:multiLevelType w:val="hybridMultilevel"/>
    <w:lvl w:ilvl="0">
      <w:lvlJc w:val="left"/>
      <w:lvlText w:val="(%1)"/>
      <w:numFmt w:val="lowerLetter"/>
      <w:start w:val="4"/>
    </w:lvl>
    <w:lvl w:ilvl="1">
      <w:lvlJc w:val="left"/>
      <w:lvlText w:val="%2"/>
      <w:numFmt w:val="lowerLetter"/>
      <w:start w:val="1"/>
    </w:lvl>
  </w:abstractNum>
  <w:abstractNum w:abstractNumId="104">
    <w:nsid w:val="5D5BABB3"/>
    <w:multiLevelType w:val="hybridMultilevel"/>
    <w:lvl w:ilvl="0">
      <w:lvlJc w:val="left"/>
      <w:lvlText w:val="(%1)"/>
      <w:numFmt w:val="lowerLetter"/>
      <w:start w:val="1"/>
    </w:lvl>
  </w:abstractNum>
  <w:abstractNum w:abstractNumId="105">
    <w:nsid w:val="51BF6B48"/>
    <w:multiLevelType w:val="hybridMultilevel"/>
    <w:lvl w:ilvl="0">
      <w:lvlJc w:val="left"/>
      <w:lvlText w:val="(%1)"/>
      <w:numFmt w:val="lowerLetter"/>
      <w:start w:val="2"/>
    </w:lvl>
  </w:abstractNum>
  <w:abstractNum w:abstractNumId="106">
    <w:nsid w:val="7E0F6384"/>
    <w:multiLevelType w:val="hybridMultilevel"/>
    <w:lvl w:ilvl="0">
      <w:lvlJc w:val="left"/>
      <w:lvlText w:val="(%1)"/>
      <w:numFmt w:val="lowerRoman"/>
      <w:start w:val="2"/>
    </w:lvl>
  </w:abstractNum>
  <w:abstractNum w:abstractNumId="107">
    <w:nsid w:val="2B4B8B53"/>
    <w:multiLevelType w:val="hybridMultilevel"/>
    <w:lvl w:ilvl="0">
      <w:lvlJc w:val="left"/>
      <w:lvlText w:val="(%1)"/>
      <w:numFmt w:val="lowerRoman"/>
      <w:start w:val="2"/>
    </w:lvl>
  </w:abstractNum>
  <w:abstractNum w:abstractNumId="108">
    <w:nsid w:val="72E3413A"/>
    <w:multiLevelType w:val="hybridMultilevel"/>
    <w:lvl w:ilvl="0">
      <w:lvlJc w:val="left"/>
      <w:lvlText w:val="(%1)"/>
      <w:numFmt w:val="lowerRoman"/>
      <w:start w:val="3"/>
    </w:lvl>
  </w:abstractNum>
  <w:abstractNum w:abstractNumId="109">
    <w:nsid w:val="116AE494"/>
    <w:multiLevelType w:val="hybridMultilevel"/>
    <w:lvl w:ilvl="0">
      <w:lvlJc w:val="left"/>
      <w:lvlText w:val="(%1)"/>
      <w:numFmt w:val="lowerRoman"/>
      <w:start w:val="2"/>
    </w:lvl>
  </w:abstractNum>
  <w:abstractNum w:abstractNumId="110">
    <w:nsid w:val="3494B2FB"/>
    <w:multiLevelType w:val="hybridMultilevel"/>
    <w:lvl w:ilvl="0">
      <w:lvlJc w:val="left"/>
      <w:lvlText w:val="(%1)"/>
      <w:numFmt w:val="lowerLetter"/>
      <w:start w:val="1"/>
    </w:lvl>
    <w:lvl w:ilvl="1">
      <w:lvlJc w:val="left"/>
      <w:lvlText w:val="(%2)"/>
      <w:numFmt w:val="lowerRoman"/>
      <w:start w:val="1"/>
    </w:lvl>
  </w:abstractNum>
  <w:abstractNum w:abstractNumId="111">
    <w:nsid w:val="B13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12">
    <w:nsid w:val="64429599"/>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13">
    <w:nsid w:val="631F1690"/>
    <w:multiLevelType w:val="hybridMultilevel"/>
    <w:lvl w:ilvl="0">
      <w:lvlJc w:val="left"/>
      <w:lvlText w:val="(%1)"/>
      <w:numFmt w:val="lowerLetter"/>
      <w:start w:val="3"/>
    </w:lvl>
  </w:abstractNum>
  <w:abstractNum w:abstractNumId="114">
    <w:nsid w:val="25973E32"/>
    <w:multiLevelType w:val="hybridMultilevel"/>
    <w:lvl w:ilvl="0">
      <w:lvlJc w:val="left"/>
      <w:lvlText w:val="(%1)"/>
      <w:numFmt w:val="lowerLetter"/>
      <w:start w:val="1"/>
    </w:lvl>
    <w:lvl w:ilvl="1">
      <w:lvlJc w:val="left"/>
      <w:lvlText w:val="(%2)"/>
      <w:numFmt w:val="lowerRoman"/>
      <w:start w:val="1"/>
    </w:lvl>
  </w:abstractNum>
  <w:abstractNum w:abstractNumId="115">
    <w:nsid w:val="EAD6F57"/>
    <w:multiLevelType w:val="hybridMultilevel"/>
    <w:lvl w:ilvl="0">
      <w:lvlJc w:val="left"/>
      <w:lvlText w:val="(%1)"/>
      <w:numFmt w:val="lowerLetter"/>
      <w:start w:val="2"/>
    </w:lvl>
  </w:abstractNum>
  <w:abstractNum w:abstractNumId="116">
    <w:nsid w:val="6EC9D844"/>
    <w:multiLevelType w:val="hybridMultilevel"/>
    <w:lvl w:ilvl="0">
      <w:lvlJc w:val="left"/>
      <w:lvlText w:val="(%1)"/>
      <w:numFmt w:val="lowerLetter"/>
      <w:start w:val="1"/>
    </w:lvl>
  </w:abstractNum>
  <w:abstractNum w:abstractNumId="117">
    <w:nsid w:val="5C49EAE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8">
    <w:nsid w:val="64AF49B"/>
    <w:multiLevelType w:val="hybridMultilevel"/>
    <w:lvl w:ilvl="0">
      <w:lvlJc w:val="left"/>
      <w:lvlText w:val="(%1)"/>
      <w:numFmt w:val="lowerRoman"/>
      <w:start w:val="2"/>
    </w:lvl>
  </w:abstractNum>
  <w:abstractNum w:abstractNumId="119">
    <w:nsid w:val="397C46BC"/>
    <w:multiLevelType w:val="hybridMultilevel"/>
    <w:lvl w:ilvl="0">
      <w:lvlJc w:val="left"/>
      <w:lvlText w:val="(%1)"/>
      <w:numFmt w:val="lowerLetter"/>
      <w:start w:val="1"/>
    </w:lvl>
  </w:abstractNum>
  <w:abstractNum w:abstractNumId="120">
    <w:nsid w:val="7E448DE9"/>
    <w:multiLevelType w:val="hybridMultilevel"/>
    <w:lvl w:ilvl="0">
      <w:lvlJc w:val="left"/>
      <w:lvlText w:val="(%1)"/>
      <w:numFmt w:val="lowerLetter"/>
      <w:start w:val="2"/>
    </w:lvl>
    <w:lvl w:ilvl="1">
      <w:lvlJc w:val="left"/>
      <w:lvlText w:val="(%2)"/>
      <w:numFmt w:val="lowerRoman"/>
      <w:start w:val="1"/>
    </w:lvl>
  </w:abstractNum>
  <w:abstractNum w:abstractNumId="121">
    <w:nsid w:val="5A9CC3E5"/>
    <w:multiLevelType w:val="hybridMultilevel"/>
    <w:lvl w:ilvl="0">
      <w:lvlJc w:val="left"/>
      <w:lvlText w:val="(%1)"/>
      <w:numFmt w:val="lowerLetter"/>
      <w:start w:val="3"/>
    </w:lvl>
    <w:lvl w:ilvl="1">
      <w:lvlJc w:val="left"/>
      <w:lvlText w:val="(%2)"/>
      <w:numFmt w:val="lowerLetter"/>
      <w:start w:val="9"/>
    </w:lvl>
  </w:abstractNum>
  <w:abstractNum w:abstractNumId="122">
    <w:nsid w:val="1AFE3625"/>
    <w:multiLevelType w:val="hybridMultilevel"/>
    <w:lvl w:ilvl="0">
      <w:lvlJc w:val="left"/>
      <w:lvlText w:val="(%1)"/>
      <w:numFmt w:val="lowerRoman"/>
      <w:start w:val="2"/>
    </w:lvl>
  </w:abstractNum>
  <w:abstractNum w:abstractNumId="123">
    <w:nsid w:val="3CA88ECF"/>
    <w:multiLevelType w:val="hybridMultilevel"/>
    <w:lvl w:ilvl="0">
      <w:lvlJc w:val="left"/>
      <w:lvlText w:val="(%1)"/>
      <w:numFmt w:val="lowerLetter"/>
      <w:start w:val="4"/>
    </w:lvl>
  </w:abstractNum>
  <w:abstractNum w:abstractNumId="124">
    <w:nsid w:val="6EBE4208"/>
    <w:multiLevelType w:val="hybridMultilevel"/>
    <w:lvl w:ilvl="0">
      <w:lvlJc w:val="left"/>
      <w:lvlText w:val="(%1)"/>
      <w:numFmt w:val="lowerLetter"/>
      <w:start w:val="5"/>
    </w:lvl>
  </w:abstractNum>
  <w:abstractNum w:abstractNumId="125">
    <w:nsid w:val="C058DF5"/>
    <w:multiLevelType w:val="hybridMultilevel"/>
    <w:lvl w:ilvl="0">
      <w:lvlJc w:val="left"/>
      <w:lvlText w:val="(%1)"/>
      <w:numFmt w:val="lowerLetter"/>
      <w:start w:val="1"/>
    </w:lvl>
  </w:abstractNum>
  <w:abstractNum w:abstractNumId="126">
    <w:nsid w:val="CBE5BE9"/>
    <w:multiLevelType w:val="hybridMultilevel"/>
    <w:lvl w:ilvl="0">
      <w:lvlJc w:val="left"/>
      <w:lvlText w:val="(%1)"/>
      <w:numFmt w:val="lowerLetter"/>
      <w:start w:val="2"/>
    </w:lvl>
    <w:lvl w:ilvl="1">
      <w:lvlJc w:val="left"/>
      <w:lvlText w:val="(%2)"/>
      <w:numFmt w:val="lowerLetter"/>
      <w:start w:val="9"/>
    </w:lvl>
  </w:abstractNum>
  <w:abstractNum w:abstractNumId="127">
    <w:nsid w:val="3102BBE2"/>
    <w:multiLevelType w:val="hybridMultilevel"/>
    <w:lvl w:ilvl="0">
      <w:lvlJc w:val="left"/>
      <w:lvlText w:val="(%1)"/>
      <w:numFmt w:val="lowerRoman"/>
      <w:start w:val="2"/>
    </w:lvl>
  </w:abstractNum>
  <w:abstractNum w:abstractNumId="128">
    <w:nsid w:val="26A02C5E"/>
    <w:multiLevelType w:val="hybridMultilevel"/>
    <w:lvl w:ilvl="0">
      <w:lvlJc w:val="left"/>
      <w:lvlText w:val="(%1)"/>
      <w:numFmt w:val="lowerLetter"/>
      <w:start w:val="3"/>
    </w:lvl>
    <w:lvl w:ilvl="1">
      <w:lvlJc w:val="left"/>
      <w:lvlText w:val="(%2)"/>
      <w:numFmt w:val="lowerRoman"/>
      <w:start w:val="1"/>
    </w:lvl>
  </w:abstractNum>
  <w:abstractNum w:abstractNumId="129">
    <w:nsid w:val="541C8153"/>
    <w:multiLevelType w:val="hybridMultilevel"/>
    <w:lvl w:ilvl="0">
      <w:lvlJc w:val="left"/>
      <w:lvlText w:val="(%1)"/>
      <w:numFmt w:val="lowerLetter"/>
      <w:start w:val="6"/>
    </w:lvl>
  </w:abstractNum>
  <w:abstractNum w:abstractNumId="130">
    <w:nsid w:val="67906F60"/>
    <w:multiLevelType w:val="hybridMultilevel"/>
    <w:lvl w:ilvl="0">
      <w:lvlJc w:val="left"/>
      <w:lvlText w:val="(%1)"/>
      <w:numFmt w:val="lowerLetter"/>
      <w:start w:val="1"/>
    </w:lvl>
  </w:abstractNum>
  <w:abstractNum w:abstractNumId="131">
    <w:nsid w:val="10DB9DAA"/>
    <w:multiLevelType w:val="hybridMultilevel"/>
    <w:lvl w:ilvl="0">
      <w:lvlJc w:val="left"/>
      <w:lvlText w:val="(%1)"/>
      <w:numFmt w:val="lowerLetter"/>
      <w:start w:val="3"/>
    </w:lvl>
    <w:lvl w:ilvl="1">
      <w:lvlJc w:val="left"/>
      <w:lvlText w:val="(%2)"/>
      <w:numFmt w:val="lowerLetter"/>
      <w:start w:val="9"/>
    </w:lvl>
  </w:abstractNum>
  <w:abstractNum w:abstractNumId="132">
    <w:nsid w:val="697D2D2"/>
    <w:multiLevelType w:val="hybridMultilevel"/>
    <w:lvl w:ilvl="0">
      <w:lvlJc w:val="left"/>
      <w:lvlText w:val="%1"/>
      <w:numFmt w:val="lowerLetter"/>
      <w:start w:val="1"/>
    </w:lvl>
    <w:lvl w:ilvl="1">
      <w:lvlJc w:val="left"/>
      <w:lvlText w:val="(%2)"/>
      <w:numFmt w:val="lowerLetter"/>
      <w:start w:val="35"/>
    </w:lvl>
  </w:abstractNum>
  <w:abstractNum w:abstractNumId="133">
    <w:nsid w:val="6D68AB2"/>
    <w:multiLevelType w:val="hybridMultilevel"/>
    <w:lvl w:ilvl="0">
      <w:lvlJc w:val="left"/>
      <w:lvlText w:val="(%1)"/>
      <w:numFmt w:val="lowerLetter"/>
      <w:start w:val="4"/>
    </w:lvl>
    <w:lvl w:ilvl="1">
      <w:lvlJc w:val="left"/>
      <w:lvlText w:val="%2"/>
      <w:numFmt w:val="lowerLetter"/>
      <w:start w:val="1"/>
    </w:lvl>
  </w:abstractNum>
  <w:abstractNum w:abstractNumId="134">
    <w:nsid w:val="3A966CD0"/>
    <w:multiLevelType w:val="hybridMultilevel"/>
    <w:lvl w:ilvl="0">
      <w:lvlJc w:val="left"/>
      <w:lvlText w:val="(%1)"/>
      <w:numFmt w:val="lowerLetter"/>
      <w:start w:val="1"/>
    </w:lvl>
  </w:abstractNum>
  <w:abstractNum w:abstractNumId="135">
    <w:nsid w:val="63F37E85"/>
    <w:multiLevelType w:val="hybridMultilevel"/>
    <w:lvl w:ilvl="0">
      <w:lvlJc w:val="left"/>
      <w:lvlText w:val="(%1)"/>
      <w:numFmt w:val="lowerLetter"/>
      <w:start w:val="2"/>
    </w:lvl>
    <w:lvl w:ilvl="1">
      <w:lvlJc w:val="left"/>
      <w:lvlText w:val="(%2)"/>
      <w:numFmt w:val="lowerRoman"/>
      <w:start w:val="1"/>
    </w:lvl>
  </w:abstractNum>
  <w:abstractNum w:abstractNumId="136">
    <w:nsid w:val="5895F5FA"/>
    <w:multiLevelType w:val="hybridMultilevel"/>
    <w:lvl w:ilvl="0">
      <w:lvlJc w:val="left"/>
      <w:lvlText w:val="%1"/>
      <w:numFmt w:val="lowerLetter"/>
      <w:start w:val="1"/>
    </w:lvl>
    <w:lvl w:ilvl="1">
      <w:lvlJc w:val="left"/>
      <w:lvlText w:val="(%2)"/>
      <w:numFmt w:val="lowerLetter"/>
      <w:start w:val="61"/>
    </w:lvl>
  </w:abstractNum>
  <w:abstractNum w:abstractNumId="137">
    <w:nsid w:val="38A5D054"/>
    <w:multiLevelType w:val="hybridMultilevel"/>
    <w:lvl w:ilvl="0">
      <w:lvlJc w:val="left"/>
      <w:lvlText w:val="(%1)"/>
      <w:numFmt w:val="lowerLetter"/>
      <w:start w:val="3"/>
    </w:lvl>
    <w:lvl w:ilvl="1">
      <w:lvlJc w:val="left"/>
      <w:lvlText w:val="%2"/>
      <w:numFmt w:val="lowerLetter"/>
      <w:start w:val="1"/>
    </w:lvl>
  </w:abstractNum>
  <w:abstractNum w:abstractNumId="138">
    <w:nsid w:val="F3F09D8"/>
    <w:multiLevelType w:val="hybridMultilevel"/>
    <w:lvl w:ilvl="0">
      <w:lvlJc w:val="left"/>
      <w:lvlText w:val="(%1)"/>
      <w:numFmt w:val="lowerLetter"/>
      <w:start w:val="1"/>
    </w:lvl>
    <w:lvl w:ilvl="1">
      <w:lvlJc w:val="left"/>
      <w:lvlText w:val="(%2)"/>
      <w:numFmt w:val="lowerRoman"/>
      <w:start w:val="1"/>
    </w:lvl>
  </w:abstractNum>
  <w:abstractNum w:abstractNumId="139">
    <w:nsid w:val="4B793735"/>
    <w:multiLevelType w:val="hybridMultilevel"/>
    <w:lvl w:ilvl="0">
      <w:lvlJc w:val="left"/>
      <w:lvlText w:val="(%1)"/>
      <w:numFmt w:val="lowerLetter"/>
      <w:start w:val="4"/>
    </w:lvl>
  </w:abstractNum>
  <w:abstractNum w:abstractNumId="140">
    <w:nsid w:val="4A10B4E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1">
    <w:nsid w:val="43D3BCD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2">
    <w:nsid w:val="4C2A71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3">
    <w:nsid w:val="2E534A8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4">
    <w:nsid w:val="26F2D364"/>
    <w:multiLevelType w:val="hybridMultilevel"/>
    <w:lvl w:ilvl="0">
      <w:lvlJc w:val="left"/>
      <w:lvlText w:val="(%1)"/>
      <w:numFmt w:val="lowerLetter"/>
      <w:start w:val="1"/>
    </w:lvl>
  </w:abstractNum>
  <w:abstractNum w:abstractNumId="145">
    <w:nsid w:val="71C1AF98"/>
    <w:multiLevelType w:val="hybridMultilevel"/>
    <w:lvl w:ilvl="0">
      <w:lvlJc w:val="left"/>
      <w:lvlText w:val="(%1)"/>
      <w:numFmt w:val="lowerLetter"/>
      <w:start w:val="1"/>
    </w:lvl>
  </w:abstractNum>
  <w:abstractNum w:abstractNumId="146">
    <w:nsid w:val="3D00B9D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7">
    <w:nsid w:val="15BCABA8"/>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48">
    <w:nsid w:val="4E0B9A87"/>
    <w:multiLevelType w:val="hybridMultilevel"/>
    <w:lvl w:ilvl="0">
      <w:lvlJc w:val="left"/>
      <w:lvlText w:val="(%1)"/>
      <w:numFmt w:val="lowerLetter"/>
      <w:start w:val="1"/>
    </w:lvl>
    <w:lvl w:ilvl="1">
      <w:lvlJc w:val="left"/>
      <w:lvlText w:val="(%2)"/>
      <w:numFmt w:val="lowerRoman"/>
      <w:start w:val="1"/>
    </w:lvl>
  </w:abstractNum>
  <w:abstractNum w:abstractNumId="149">
    <w:nsid w:val="434BAE7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0">
    <w:nsid w:val="4F38F26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51">
    <w:nsid w:val="4C502870"/>
    <w:multiLevelType w:val="hybridMultilevel"/>
    <w:lvl w:ilvl="0">
      <w:lvlJc w:val="left"/>
      <w:lvlText w:val="(%1)"/>
      <w:numFmt w:val="lowerLetter"/>
      <w:start w:val="1"/>
    </w:lvl>
  </w:abstractNum>
  <w:abstractNum w:abstractNumId="152">
    <w:nsid w:val="1DE8725A"/>
    <w:multiLevelType w:val="hybridMultilevel"/>
    <w:lvl w:ilvl="0">
      <w:lvlJc w:val="left"/>
      <w:lvlText w:val="(%1)"/>
      <w:numFmt w:val="lowerLetter"/>
      <w:start w:val="3"/>
    </w:lvl>
  </w:abstractNum>
  <w:abstractNum w:abstractNumId="153">
    <w:nsid w:val="6A37288A"/>
    <w:multiLevelType w:val="hybridMultilevel"/>
    <w:lvl w:ilvl="0">
      <w:lvlJc w:val="left"/>
      <w:lvlText w:val="(%1)"/>
      <w:numFmt w:val="lowerRoman"/>
      <w:start w:val="1"/>
    </w:lvl>
  </w:abstractNum>
  <w:abstractNum w:abstractNumId="154">
    <w:nsid w:val="8F8B73F"/>
    <w:multiLevelType w:val="hybridMultilevel"/>
    <w:lvl w:ilvl="0">
      <w:lvlJc w:val="left"/>
      <w:lvlText w:val="(%1)"/>
      <w:numFmt w:val="lowerLetter"/>
      <w:start w:val="4"/>
    </w:lvl>
  </w:abstractNum>
  <w:abstractNum w:abstractNumId="155">
    <w:nsid w:val="CA6B4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763CB680"/>
    <w:multiLevelType w:val="hybridMultilevel"/>
    <w:lvl w:ilvl="0">
      <w:lvlJc w:val="left"/>
      <w:lvlText w:val="(%1)"/>
      <w:numFmt w:val="lowerLetter"/>
      <w:start w:val="3"/>
    </w:lvl>
    <w:lvl w:ilvl="1">
      <w:lvlJc w:val="left"/>
      <w:lvlText w:val="(%2)"/>
      <w:numFmt w:val="lowerLetter"/>
      <w:start w:val="9"/>
    </w:lvl>
  </w:abstractNum>
  <w:abstractNum w:abstractNumId="157">
    <w:nsid w:val="15B71329"/>
    <w:multiLevelType w:val="hybridMultilevel"/>
    <w:lvl w:ilvl="0">
      <w:lvlJc w:val="left"/>
      <w:lvlText w:val="%1"/>
      <w:numFmt w:val="upperLetter"/>
      <w:start w:val="1"/>
    </w:lvl>
    <w:lvl w:ilvl="1">
      <w:lvlJc w:val="left"/>
      <w:lvlText w:val="(%2)"/>
      <w:numFmt w:val="lowerRoman"/>
      <w:start w:val="2"/>
    </w:lvl>
  </w:abstractNum>
  <w:abstractNum w:abstractNumId="158">
    <w:nsid w:val="3DA97044"/>
    <w:multiLevelType w:val="hybridMultilevel"/>
    <w:lvl w:ilvl="0">
      <w:lvlJc w:val="left"/>
      <w:lvlText w:val="(%1)"/>
      <w:numFmt w:val="upperLetter"/>
      <w:start w:val="1"/>
    </w:lvl>
    <w:lvl w:ilvl="1">
      <w:lvlJc w:val="left"/>
      <w:lvlText w:val="%2"/>
      <w:numFmt w:val="lowerRoman"/>
      <w:start w:val="1"/>
    </w:lvl>
  </w:abstractNum>
  <w:abstractNum w:abstractNumId="159">
    <w:nsid w:val="1CDCE2DE"/>
    <w:multiLevelType w:val="hybridMultilevel"/>
    <w:lvl w:ilvl="0">
      <w:lvlJc w:val="left"/>
      <w:lvlText w:val="%1"/>
      <w:numFmt w:val="lowerLetter"/>
      <w:start w:val="1"/>
    </w:lvl>
    <w:lvl w:ilvl="1">
      <w:lvlJc w:val="left"/>
      <w:lvlText w:val="(%2)"/>
      <w:numFmt w:val="lowerRoman"/>
      <w:start w:val="4"/>
    </w:lvl>
  </w:abstractNum>
  <w:abstractNum w:abstractNumId="160">
    <w:nsid w:val="69D3947C"/>
    <w:multiLevelType w:val="hybridMultilevel"/>
    <w:lvl w:ilvl="0">
      <w:lvlJc w:val="left"/>
      <w:lvlText w:val="(%1)"/>
      <w:numFmt w:val="lowerLetter"/>
      <w:start w:val="5"/>
    </w:lvl>
    <w:lvl w:ilvl="1">
      <w:lvlJc w:val="left"/>
      <w:lvlText w:val="%2"/>
      <w:numFmt w:val="lowerRoman"/>
      <w:start w:val="1"/>
    </w:lvl>
  </w:abstractNum>
  <w:abstractNum w:abstractNumId="161">
    <w:nsid w:val="2539DFA5"/>
    <w:multiLevelType w:val="hybridMultilevel"/>
    <w:lvl w:ilvl="0">
      <w:lvlJc w:val="left"/>
      <w:lvlText w:val="(%1)"/>
      <w:numFmt w:val="lowerLetter"/>
      <w:start w:val="1"/>
    </w:lvl>
  </w:abstractNum>
  <w:abstractNum w:abstractNumId="162">
    <w:nsid w:val="2DB88089"/>
    <w:multiLevelType w:val="hybridMultilevel"/>
    <w:lvl w:ilvl="0">
      <w:lvlJc w:val="left"/>
      <w:lvlText w:val="(%1)"/>
      <w:numFmt w:val="lowerLetter"/>
      <w:start w:val="1"/>
    </w:lvl>
  </w:abstractNum>
  <w:abstractNum w:abstractNumId="163">
    <w:nsid w:val="706B6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4">
    <w:nsid w:val="2C106A57"/>
    <w:multiLevelType w:val="hybridMultilevel"/>
    <w:lvl w:ilvl="0">
      <w:lvlJc w:val="left"/>
      <w:lvlText w:val="(%1)"/>
      <w:numFmt w:val="lowerRoman"/>
      <w:start w:val="2"/>
    </w:lvl>
  </w:abstractNum>
  <w:abstractNum w:abstractNumId="165">
    <w:nsid w:val="684EED59"/>
    <w:multiLevelType w:val="hybridMultilevel"/>
    <w:lvl w:ilvl="0">
      <w:lvlJc w:val="left"/>
      <w:lvlText w:val="%1"/>
      <w:numFmt w:val="lowerRoman"/>
      <w:start w:val="1"/>
    </w:lvl>
    <w:lvl w:ilvl="1">
      <w:lvlJc w:val="left"/>
      <w:lvlText w:val="(%2)"/>
      <w:numFmt w:val="lowerLetter"/>
      <w:start w:val="2"/>
    </w:lvl>
  </w:abstractNum>
  <w:abstractNum w:abstractNumId="166">
    <w:nsid w:val="545EE5D3"/>
    <w:multiLevelType w:val="hybridMultilevel"/>
    <w:lvl w:ilvl="0">
      <w:lvlJc w:val="left"/>
      <w:lvlText w:val="(%1)"/>
      <w:numFmt w:val="lowerRoman"/>
      <w:start w:val="1"/>
    </w:lvl>
    <w:lvl w:ilvl="1">
      <w:lvlJc w:val="left"/>
      <w:lvlText w:val="%2"/>
      <w:numFmt w:val="lowerLetter"/>
      <w:start w:val="1"/>
    </w:lvl>
  </w:abstractNum>
  <w:abstractNum w:abstractNumId="167">
    <w:nsid w:val="4A66051"/>
    <w:multiLevelType w:val="hybridMultilevel"/>
    <w:lvl w:ilvl="0">
      <w:lvlJc w:val="left"/>
      <w:lvlText w:val="(%1)"/>
      <w:numFmt w:val="lowerLetter"/>
      <w:start w:val="3"/>
    </w:lvl>
  </w:abstractNum>
  <w:abstractNum w:abstractNumId="168">
    <w:nsid w:val="20F4BDAD"/>
    <w:multiLevelType w:val="hybridMultilevel"/>
    <w:lvl w:ilvl="0">
      <w:lvlJc w:val="left"/>
      <w:lvlText w:val="(%1)"/>
      <w:numFmt w:val="lowerLetter"/>
      <w:start w:val="1"/>
    </w:lvl>
  </w:abstractNum>
  <w:abstractNum w:abstractNumId="169">
    <w:nsid w:val="639DEFAC"/>
    <w:multiLevelType w:val="hybridMultilevel"/>
    <w:lvl w:ilvl="0">
      <w:lvlJc w:val="left"/>
      <w:lvlText w:val="(%1)"/>
      <w:numFmt w:val="lowerLetter"/>
      <w:start w:val="1"/>
    </w:lvl>
  </w:abstractNum>
  <w:abstractNum w:abstractNumId="170">
    <w:nsid w:val="501F9786"/>
    <w:multiLevelType w:val="hybridMultilevel"/>
    <w:lvl w:ilvl="0">
      <w:lvlJc w:val="left"/>
      <w:lvlText w:val="(%1)"/>
      <w:numFmt w:val="lowerRoman"/>
      <w:start w:val="1"/>
    </w:lvl>
  </w:abstractNum>
  <w:abstractNum w:abstractNumId="171">
    <w:nsid w:val="6B057295"/>
    <w:multiLevelType w:val="hybridMultilevel"/>
    <w:lvl w:ilvl="0">
      <w:lvlJc w:val="left"/>
      <w:lvlText w:val="(%1)"/>
      <w:numFmt w:val="lowerRoman"/>
      <w:start w:val="3"/>
    </w:lvl>
  </w:abstractNum>
  <w:abstractNum w:abstractNumId="172">
    <w:nsid w:val="2771AC80"/>
    <w:multiLevelType w:val="hybridMultilevel"/>
    <w:lvl w:ilvl="0">
      <w:lvlJc w:val="left"/>
      <w:lvlText w:val="%1"/>
      <w:numFmt w:val="lowerLetter"/>
      <w:start w:val="1"/>
    </w:lvl>
    <w:lvl w:ilvl="1">
      <w:lvlJc w:val="left"/>
      <w:lvlText w:val="(%2)"/>
      <w:numFmt w:val="lowerLetter"/>
      <w:start w:val="1"/>
    </w:lvl>
  </w:abstractNum>
  <w:abstractNum w:abstractNumId="173">
    <w:nsid w:val="1C4A08EC"/>
    <w:multiLevelType w:val="hybridMultilevel"/>
    <w:lvl w:ilvl="0">
      <w:lvlJc w:val="left"/>
      <w:lvlText w:val="(%1)"/>
      <w:numFmt w:val="lowerLetter"/>
      <w:start w:val="9"/>
    </w:lvl>
    <w:lvl w:ilvl="1">
      <w:lvlJc w:val="left"/>
      <w:lvlText w:val="(%2)"/>
      <w:numFmt w:val="lowerLetter"/>
      <w:start w:val="3"/>
    </w:lvl>
  </w:abstractNum>
  <w:abstractNum w:abstractNumId="174">
    <w:nsid w:val="1958BD17"/>
    <w:multiLevelType w:val="hybridMultilevel"/>
    <w:lvl w:ilvl="0">
      <w:lvlJc w:val="left"/>
      <w:lvlText w:val="(%1)"/>
      <w:numFmt w:val="lowerLetter"/>
      <w:start w:val="1"/>
    </w:lvl>
  </w:abstractNum>
  <w:abstractNum w:abstractNumId="175">
    <w:nsid w:val="4E647FE4"/>
    <w:multiLevelType w:val="hybridMultilevel"/>
    <w:lvl w:ilvl="0">
      <w:lvlJc w:val="left"/>
      <w:lvlText w:val="(%1)"/>
      <w:numFmt w:val="lowerLetter"/>
      <w:start w:val="3"/>
    </w:lvl>
    <w:lvl w:ilvl="1">
      <w:lvlJc w:val="left"/>
      <w:lvlText w:val="(%2)"/>
      <w:numFmt w:val="lowerRoman"/>
      <w:start w:val="1"/>
    </w:lvl>
  </w:abstractNum>
  <w:abstractNum w:abstractNumId="176">
    <w:nsid w:val="E0BB885"/>
    <w:multiLevelType w:val="hybridMultilevel"/>
    <w:lvl w:ilvl="0">
      <w:lvlJc w:val="left"/>
      <w:lvlText w:val="\endash "/>
      <w:numFmt w:val="bullet"/>
      <w:start w:val="1"/>
    </w:lvl>
    <w:lvl w:ilvl="1">
      <w:lvlJc w:val="left"/>
      <w:lvlText w:val="(%2)"/>
      <w:numFmt w:val="lowerLetter"/>
      <w:start w:val="4"/>
    </w:lvl>
    <w:lvl w:ilvl="2">
      <w:lvlJc w:val="left"/>
      <w:lvlText w:val="(%3)"/>
      <w:numFmt w:val="lowerRoman"/>
      <w:start w:val="1"/>
    </w:lvl>
  </w:abstractNum>
  <w:abstractNum w:abstractNumId="177">
    <w:nsid w:val="565976F1"/>
    <w:multiLevelType w:val="hybridMultilevel"/>
    <w:lvl w:ilvl="0">
      <w:lvlJc w:val="left"/>
      <w:lvlText w:val="(%1)"/>
      <w:numFmt w:val="lowerLetter"/>
      <w:start w:val="6"/>
    </w:lvl>
  </w:abstractNum>
  <w:abstractNum w:abstractNumId="178">
    <w:nsid w:val="64212B8C"/>
    <w:multiLevelType w:val="hybridMultilevel"/>
    <w:lvl w:ilvl="0">
      <w:lvlJc w:val="left"/>
      <w:lvlText w:val="(%1)"/>
      <w:numFmt w:val="lowerLetter"/>
      <w:start w:val="1"/>
    </w:lvl>
  </w:abstractNum>
  <w:abstractNum w:abstractNumId="179">
    <w:nsid w:val="5C17530C"/>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180">
    <w:nsid w:val="19A52566"/>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181">
    <w:nsid w:val="335A1DF1"/>
    <w:multiLevelType w:val="hybridMultilevel"/>
    <w:lvl w:ilvl="0">
      <w:lvlJc w:val="left"/>
      <w:lvlText w:val="(%1)"/>
      <w:numFmt w:val="lowerLetter"/>
      <w:start w:val="8"/>
    </w:lvl>
  </w:abstractNum>
  <w:abstractNum w:abstractNumId="182">
    <w:nsid w:val="28677B7C"/>
    <w:multiLevelType w:val="hybridMultilevel"/>
    <w:lvl w:ilvl="0">
      <w:lvlJc w:val="left"/>
      <w:lvlText w:val="(%1)"/>
      <w:numFmt w:val="lowerLetter"/>
      <w:start w:val="1"/>
    </w:lvl>
    <w:lvl w:ilvl="1">
      <w:lvlJc w:val="left"/>
      <w:lvlText w:val="(%2)"/>
      <w:numFmt w:val="lowerLetter"/>
      <w:start w:val="9"/>
    </w:lvl>
  </w:abstractNum>
  <w:abstractNum w:abstractNumId="183">
    <w:nsid w:val="378D97C0"/>
    <w:multiLevelType w:val="hybridMultilevel"/>
    <w:lvl w:ilvl="0">
      <w:lvlJc w:val="left"/>
      <w:lvlText w:val="%1"/>
      <w:numFmt w:val="lowerLetter"/>
      <w:start w:val="1"/>
    </w:lvl>
    <w:lvl w:ilvl="1">
      <w:lvlJc w:val="left"/>
      <w:lvlText w:val="(%2)"/>
      <w:numFmt w:val="lowerRoman"/>
      <w:start w:val="2"/>
    </w:lvl>
  </w:abstractNum>
  <w:abstractNum w:abstractNumId="184">
    <w:nsid w:val="1D91467C"/>
    <w:multiLevelType w:val="hybridMultilevel"/>
    <w:lvl w:ilvl="0">
      <w:lvlJc w:val="left"/>
      <w:lvlText w:val="(%1)"/>
      <w:numFmt w:val="lowerLetter"/>
      <w:start w:val="5"/>
    </w:lvl>
    <w:lvl w:ilvl="1">
      <w:lvlJc w:val="left"/>
      <w:lvlText w:val="%2"/>
      <w:numFmt w:val="lowerRoman"/>
      <w:start w:val="1"/>
    </w:lvl>
  </w:abstractNum>
  <w:abstractNum w:abstractNumId="185">
    <w:nsid w:val="316032BB"/>
    <w:multiLevelType w:val="hybridMultilevel"/>
    <w:lvl w:ilvl="0">
      <w:lvlJc w:val="left"/>
      <w:lvlText w:val="(%1)"/>
      <w:numFmt w:val="lowerLetter"/>
      <w:start w:val="1"/>
    </w:lvl>
    <w:lvl w:ilvl="1">
      <w:lvlJc w:val="left"/>
      <w:lvlText w:val="(%2)"/>
      <w:numFmt w:val="lowerLetter"/>
      <w:start w:val="9"/>
    </w:lvl>
  </w:abstractNum>
  <w:abstractNum w:abstractNumId="186">
    <w:nsid w:val="44344C22"/>
    <w:multiLevelType w:val="hybridMultilevel"/>
    <w:lvl w:ilvl="0">
      <w:lvlJc w:val="left"/>
      <w:lvlText w:val="(%1)"/>
      <w:numFmt w:val="upperLetter"/>
      <w:start w:val="1"/>
    </w:lvl>
  </w:abstractNum>
  <w:abstractNum w:abstractNumId="187">
    <w:nsid w:val="13CDFCF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88">
    <w:nsid w:val="471745E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89">
    <w:nsid w:val="1DDBC66"/>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90">
    <w:nsid w:val="30AADFDA"/>
    <w:multiLevelType w:val="hybridMultilevel"/>
    <w:lvl w:ilvl="0">
      <w:lvlJc w:val="left"/>
      <w:lvlText w:val="(%1)"/>
      <w:numFmt w:val="lowerRoman"/>
      <w:start w:val="2"/>
    </w:lvl>
  </w:abstractNum>
  <w:abstractNum w:abstractNumId="191">
    <w:nsid w:val="30EADA61"/>
    <w:multiLevelType w:val="hybridMultilevel"/>
    <w:lvl w:ilvl="0">
      <w:lvlJc w:val="left"/>
      <w:lvlText w:val="(%1)"/>
      <w:numFmt w:val="lowerLetter"/>
      <w:start w:val="6"/>
    </w:lvl>
  </w:abstractNum>
  <w:abstractNum w:abstractNumId="192">
    <w:nsid w:val="27179C0B"/>
    <w:multiLevelType w:val="hybridMultilevel"/>
    <w:lvl w:ilvl="0">
      <w:lvlJc w:val="left"/>
      <w:lvlText w:val="(%1)"/>
      <w:numFmt w:val="lowerLetter"/>
      <w:start w:val="1"/>
    </w:lvl>
  </w:abstractNum>
  <w:abstractNum w:abstractNumId="193">
    <w:nsid w:val="5E636063"/>
    <w:multiLevelType w:val="hybridMultilevel"/>
    <w:lvl w:ilvl="0">
      <w:lvlJc w:val="left"/>
      <w:lvlText w:val="•"/>
      <w:numFmt w:val="bullet"/>
      <w:start w:val="1"/>
    </w:lvl>
  </w:abstractNum>
  <w:abstractNum w:abstractNumId="194">
    <w:nsid w:val="215641AF"/>
    <w:multiLevelType w:val="hybridMultilevel"/>
    <w:lvl w:ilvl="0">
      <w:lvlJc w:val="left"/>
      <w:lvlText w:val="•"/>
      <w:numFmt w:val="bullet"/>
      <w:start w:val="1"/>
    </w:lvl>
  </w:abstractNum>
  <w:abstractNum w:abstractNumId="195">
    <w:nsid w:val="53280662"/>
    <w:multiLevelType w:val="hybridMultilevel"/>
    <w:lvl w:ilvl="0">
      <w:lvlJc w:val="left"/>
      <w:lvlText w:val="•"/>
      <w:numFmt w:val="bullet"/>
      <w:start w:val="1"/>
    </w:lvl>
  </w:abstractNum>
  <w:abstractNum w:abstractNumId="196">
    <w:nsid w:val="46B24DBC"/>
    <w:multiLevelType w:val="hybridMultilevel"/>
    <w:lvl w:ilvl="0">
      <w:lvlJc w:val="left"/>
      <w:lvlText w:val="•"/>
      <w:numFmt w:val="bullet"/>
      <w:start w:val="1"/>
    </w:lvl>
  </w:abstractNum>
  <w:abstractNum w:abstractNumId="197">
    <w:nsid w:val="75B52783"/>
    <w:multiLevelType w:val="hybridMultilevel"/>
    <w:lvl w:ilvl="0">
      <w:lvlJc w:val="left"/>
      <w:lvlText w:val="•"/>
      <w:numFmt w:val="bullet"/>
      <w:start w:val="1"/>
    </w:lvl>
  </w:abstractNum>
  <w:abstractNum w:abstractNumId="198">
    <w:nsid w:val="57CE66B4"/>
    <w:multiLevelType w:val="hybridMultilevel"/>
    <w:lvl w:ilvl="0">
      <w:lvlJc w:val="left"/>
      <w:lvlText w:val="•"/>
      <w:numFmt w:val="bullet"/>
      <w:start w:val="1"/>
    </w:lvl>
  </w:abstractNum>
  <w:abstractNum w:abstractNumId="199">
    <w:nsid w:val="67A70B69"/>
    <w:multiLevelType w:val="hybridMultilevel"/>
    <w:lvl w:ilvl="0">
      <w:lvlJc w:val="left"/>
      <w:lvlText w:val="•"/>
      <w:numFmt w:val="bullet"/>
      <w:start w:val="1"/>
    </w:lvl>
  </w:abstractNum>
  <w:abstractNum w:abstractNumId="200">
    <w:nsid w:val="5953172F"/>
    <w:multiLevelType w:val="hybridMultilevel"/>
    <w:lvl w:ilvl="0">
      <w:lvlJc w:val="left"/>
      <w:lvlText w:val="•"/>
      <w:numFmt w:val="bullet"/>
      <w:start w:val="1"/>
    </w:lvl>
  </w:abstractNum>
  <w:abstractNum w:abstractNumId="201">
    <w:nsid w:val="27EDFE3A"/>
    <w:multiLevelType w:val="hybridMultilevel"/>
    <w:lvl w:ilvl="0">
      <w:lvlJc w:val="left"/>
      <w:lvlText w:val="•"/>
      <w:numFmt w:val="bullet"/>
      <w:start w:val="1"/>
    </w:lvl>
  </w:abstractNum>
  <w:abstractNum w:abstractNumId="202">
    <w:nsid w:val="52AC7DFF"/>
    <w:multiLevelType w:val="hybridMultilevel"/>
    <w:lvl w:ilvl="0">
      <w:lvlJc w:val="left"/>
      <w:lvlText w:val="•"/>
      <w:numFmt w:val="bullet"/>
      <w:start w:val="1"/>
    </w:lvl>
  </w:abstractNum>
  <w:abstractNum w:abstractNumId="203">
    <w:nsid w:val="C4C3AF"/>
    <w:multiLevelType w:val="hybridMultilevel"/>
    <w:lvl w:ilvl="0">
      <w:lvlJc w:val="left"/>
      <w:lvlText w:val="•"/>
      <w:numFmt w:val="bullet"/>
      <w:start w:val="1"/>
    </w:lvl>
  </w:abstractNum>
  <w:abstractNum w:abstractNumId="204">
    <w:nsid w:val="44380727"/>
    <w:multiLevelType w:val="hybridMultilevel"/>
    <w:lvl w:ilvl="0">
      <w:lvlJc w:val="left"/>
      <w:lvlText w:val="•"/>
      <w:numFmt w:val="bullet"/>
      <w:start w:val="1"/>
    </w:lvl>
  </w:abstractNum>
  <w:abstractNum w:abstractNumId="205">
    <w:nsid w:val="6C053B16"/>
    <w:multiLevelType w:val="hybridMultilevel"/>
    <w:lvl w:ilvl="0">
      <w:lvlJc w:val="left"/>
      <w:lvlText w:val="•"/>
      <w:numFmt w:val="bullet"/>
      <w:start w:val="1"/>
    </w:lvl>
  </w:abstractNum>
  <w:abstractNum w:abstractNumId="206">
    <w:nsid w:val="4F294393"/>
    <w:multiLevelType w:val="hybridMultilevel"/>
    <w:lvl w:ilvl="0">
      <w:lvlJc w:val="left"/>
      <w:lvlText w:val="•"/>
      <w:numFmt w:val="bullet"/>
      <w:start w:val="1"/>
    </w:lvl>
  </w:abstractNum>
  <w:abstractNum w:abstractNumId="207">
    <w:nsid w:val="5243BFAC"/>
    <w:multiLevelType w:val="hybridMultilevel"/>
    <w:lvl w:ilvl="0">
      <w:lvlJc w:val="left"/>
      <w:lvlText w:val="•"/>
      <w:numFmt w:val="bullet"/>
      <w:start w:val="1"/>
    </w:lvl>
  </w:abstractNum>
  <w:abstractNum w:abstractNumId="208">
    <w:nsid w:val="425EB207"/>
    <w:multiLevelType w:val="hybridMultilevel"/>
    <w:lvl w:ilvl="0">
      <w:lvlJc w:val="left"/>
      <w:lvlText w:val="•"/>
      <w:numFmt w:val="bullet"/>
      <w:start w:val="1"/>
    </w:lvl>
  </w:abstractNum>
  <w:abstractNum w:abstractNumId="209">
    <w:nsid w:val="334A6F1F"/>
    <w:multiLevelType w:val="hybridMultilevel"/>
    <w:lvl w:ilvl="0">
      <w:lvlJc w:val="left"/>
      <w:lvlText w:val="•"/>
      <w:numFmt w:val="bullet"/>
      <w:start w:val="1"/>
    </w:lvl>
  </w:abstractNum>
  <w:abstractNum w:abstractNumId="210">
    <w:nsid w:val="2E5B12B8"/>
    <w:multiLevelType w:val="hybridMultilevel"/>
    <w:lvl w:ilvl="0">
      <w:lvlJc w:val="left"/>
      <w:lvlText w:val="•"/>
      <w:numFmt w:val="bullet"/>
      <w:start w:val="1"/>
    </w:lvl>
  </w:abstractNum>
  <w:abstractNum w:abstractNumId="211">
    <w:nsid w:val="5C03D76D"/>
    <w:multiLevelType w:val="hybridMultilevel"/>
    <w:lvl w:ilvl="0">
      <w:lvlJc w:val="left"/>
      <w:lvlText w:val="(%1)"/>
      <w:numFmt w:val="upperLetter"/>
      <w:start w:val="1"/>
    </w:lvl>
  </w:abstractNum>
  <w:abstractNum w:abstractNumId="212">
    <w:nsid w:val="66A48D11"/>
    <w:multiLevelType w:val="hybridMultilevel"/>
    <w:lvl w:ilvl="0">
      <w:lvlJc w:val="left"/>
      <w:lvlText w:val="(%1)"/>
      <w:numFmt w:val="upperLetter"/>
      <w:start w:val="6"/>
    </w:lvl>
  </w:abstractNum>
  <w:abstractNum w:abstractNumId="213">
    <w:nsid w:val="56C28E34"/>
    <w:multiLevelType w:val="hybridMultilevel"/>
    <w:lvl w:ilvl="0">
      <w:lvlJc w:val="left"/>
      <w:lvlText w:val="(%1)"/>
      <w:numFmt w:val="upperLetter"/>
      <w:start w:val="8"/>
    </w:lvl>
    <w:lvl w:ilvl="1">
      <w:lvlJc w:val="left"/>
      <w:lvlText w:val="(%2)"/>
      <w:numFmt w:val="upperLetter"/>
      <w:start w:val="7"/>
    </w:lvl>
  </w:abstractNum>
  <w:abstractNum w:abstractNumId="214">
    <w:nsid w:val="13916F2D"/>
    <w:multiLevelType w:val="hybridMultilevel"/>
    <w:lvl w:ilvl="0">
      <w:lvlJc w:val="left"/>
      <w:lvlText w:val="(%1)"/>
      <w:numFmt w:val="lowerRoman"/>
      <w:start w:val="3"/>
    </w:lvl>
  </w:abstractNum>
  <w:abstractNum w:abstractNumId="215">
    <w:nsid w:val="435D38D"/>
    <w:multiLevelType w:val="hybridMultilevel"/>
    <w:lvl w:ilvl="0">
      <w:lvlJc w:val="left"/>
      <w:lvlText w:val="•"/>
      <w:numFmt w:val="bullet"/>
      <w:start w:val="1"/>
    </w:lvl>
  </w:abstractNum>
  <w:abstractNum w:abstractNumId="216">
    <w:nsid w:val="822C0EF"/>
    <w:multiLevelType w:val="hybridMultilevel"/>
    <w:lvl w:ilvl="0">
      <w:lvlJc w:val="left"/>
      <w:lvlText w:val="•"/>
      <w:numFmt w:val="bullet"/>
      <w:start w:val="1"/>
    </w:lvl>
  </w:abstractNum>
  <w:abstractNum w:abstractNumId="217">
    <w:nsid w:val="57C5BB4F"/>
    <w:multiLevelType w:val="hybridMultilevel"/>
    <w:lvl w:ilvl="0">
      <w:lvlJc w:val="left"/>
      <w:lvlText w:val="$"/>
      <w:numFmt w:val="bullet"/>
      <w:start w:val="1"/>
    </w:lvl>
  </w:abstractNum>
  <w:abstractNum w:abstractNumId="218">
    <w:nsid w:val="1803D089"/>
    <w:multiLevelType w:val="hybridMultilevel"/>
    <w:lvl w:ilvl="0">
      <w:lvlJc w:val="left"/>
      <w:lvlText w:val="$"/>
      <w:numFmt w:val="bullet"/>
      <w:start w:val="1"/>
    </w:lvl>
  </w:abstractNum>
  <w:abstractNum w:abstractNumId="219">
    <w:nsid w:val="4F3A06D4"/>
    <w:multiLevelType w:val="hybridMultilevel"/>
    <w:lvl w:ilvl="0">
      <w:lvlJc w:val="left"/>
      <w:lvlText w:val="(%1)"/>
      <w:numFmt w:val="lowerLetter"/>
      <w:start w:val="1"/>
    </w:lvl>
  </w:abstractNum>
  <w:abstractNum w:abstractNumId="220">
    <w:nsid w:val="59A377B6"/>
    <w:multiLevelType w:val="hybridMultilevel"/>
    <w:lvl w:ilvl="0">
      <w:lvlJc w:val="left"/>
      <w:lvlText w:val="•"/>
      <w:numFmt w:val="bullet"/>
      <w:start w:val="1"/>
    </w:lvl>
  </w:abstractNum>
  <w:abstractNum w:abstractNumId="221">
    <w:nsid w:val="48AEB063"/>
    <w:multiLevelType w:val="hybridMultilevel"/>
    <w:lvl w:ilvl="0">
      <w:lvlJc w:val="left"/>
      <w:lvlText w:val="•"/>
      <w:numFmt w:val="bullet"/>
      <w:start w:val="1"/>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
      <w:numFmt w:val="bullet"/>
      <w:start w:val="1"/>
    </w:lvl>
  </w:abstractNum>
  <w:abstractNum w:abstractNumId="224">
    <w:nsid w:val="271210C7"/>
    <w:multiLevelType w:val="hybridMultilevel"/>
    <w:lvl w:ilvl="0">
      <w:lvlJc w:val="left"/>
      <w:lvlText w:val="•"/>
      <w:numFmt w:val="bullet"/>
      <w:start w:val="1"/>
    </w:lvl>
  </w:abstractNum>
  <w:abstractNum w:abstractNumId="225">
    <w:nsid w:val="217B22E4"/>
    <w:multiLevelType w:val="hybridMultilevel"/>
    <w:lvl w:ilvl="0">
      <w:lvlJc w:val="left"/>
      <w:lvlText w:val="•"/>
      <w:numFmt w:val="bullet"/>
      <w:start w:val="1"/>
    </w:lvl>
  </w:abstractNum>
  <w:abstractNum w:abstractNumId="226">
    <w:nsid w:val="53E31A24"/>
    <w:multiLevelType w:val="hybridMultilevel"/>
    <w:lvl w:ilvl="0">
      <w:lvlJc w:val="left"/>
      <w:lvlText w:val="%1."/>
      <w:numFmt w:val="decimal"/>
      <w:start w:val="1"/>
    </w:lvl>
  </w:abstractNum>
  <w:abstractNum w:abstractNumId="227">
    <w:nsid w:val="6DC45E83"/>
    <w:multiLevelType w:val="hybridMultilevel"/>
    <w:lvl w:ilvl="0">
      <w:lvlJc w:val="left"/>
      <w:lvlText w:val="•"/>
      <w:numFmt w:val="bullet"/>
      <w:start w:val="1"/>
    </w:lvl>
  </w:abstractNum>
  <w:abstractNum w:abstractNumId="228">
    <w:nsid w:val="17304A67"/>
    <w:multiLevelType w:val="hybridMultilevel"/>
    <w:lvl w:ilvl="0">
      <w:lvlJc w:val="left"/>
      <w:lvlText w:val="•"/>
      <w:numFmt w:val="bullet"/>
      <w:start w:val="1"/>
    </w:lvl>
  </w:abstractNum>
  <w:abstractNum w:abstractNumId="229">
    <w:nsid w:val="2BB180D8"/>
    <w:multiLevelType w:val="hybridMultilevel"/>
    <w:lvl w:ilvl="0">
      <w:lvlJc w:val="left"/>
      <w:lvlText w:val="(%1)"/>
      <w:numFmt w:val="decimal"/>
      <w:start w:val="1"/>
    </w:lvl>
  </w:abstractNum>
  <w:abstractNum w:abstractNumId="230">
    <w:nsid w:val="556B69ED"/>
    <w:multiLevelType w:val="hybridMultilevel"/>
    <w:lvl w:ilvl="0">
      <w:lvlJc w:val="left"/>
      <w:lvlText w:val="(%1)"/>
      <w:numFmt w:val="decimal"/>
      <w:start w:val="2"/>
    </w:lvl>
  </w:abstractNum>
  <w:abstractNum w:abstractNumId="231">
    <w:nsid w:val="70836196"/>
    <w:multiLevelType w:val="hybridMultilevel"/>
    <w:lvl w:ilvl="0">
      <w:lvlJc w:val="left"/>
      <w:lvlText w:val="(%1)"/>
      <w:numFmt w:val="decimal"/>
      <w:start w:val="7"/>
    </w:lvl>
  </w:abstractNum>
  <w:abstractNum w:abstractNumId="232">
    <w:nsid w:val="539F7F12"/>
    <w:multiLevelType w:val="hybridMultilevel"/>
    <w:lvl w:ilvl="0">
      <w:lvlJc w:val="left"/>
      <w:lvlText w:val="(%1)"/>
      <w:numFmt w:val="decimal"/>
      <w:start w:val="8"/>
    </w:lvl>
  </w:abstractNum>
  <w:abstractNum w:abstractNumId="233">
    <w:nsid w:val="2817E7EC"/>
    <w:multiLevelType w:val="hybridMultilevel"/>
    <w:lvl w:ilvl="0">
      <w:lvlJc w:val="left"/>
      <w:lvlText w:val="(%1)"/>
      <w:numFmt w:val="decimal"/>
      <w:start w:val="1"/>
    </w:lvl>
  </w:abstractNum>
  <w:abstractNum w:abstractNumId="234">
    <w:nsid w:val="71482545"/>
    <w:multiLevelType w:val="hybridMultilevel"/>
    <w:lvl w:ilvl="0">
      <w:lvlJc w:val="left"/>
      <w:lvlText w:val="(%1)"/>
      <w:numFmt w:val="decimal"/>
      <w:start w:val="1"/>
    </w:lvl>
  </w:abstractNum>
  <w:abstractNum w:abstractNumId="235">
    <w:nsid w:val="17D78639"/>
    <w:multiLevelType w:val="hybridMultilevel"/>
    <w:lvl w:ilvl="0">
      <w:lvlJc w:val="left"/>
      <w:lvlText w:val="(%1)"/>
      <w:numFmt w:val="lowerLetter"/>
      <w:start w:val="1"/>
    </w:lvl>
  </w:abstractNum>
  <w:abstractNum w:abstractNumId="236">
    <w:nsid w:val="141D2302"/>
    <w:multiLevelType w:val="hybridMultilevel"/>
    <w:lvl w:ilvl="0">
      <w:lvlJc w:val="left"/>
      <w:lvlText w:val="%1."/>
      <w:numFmt w:val="upperLetter"/>
      <w:start w:val="1"/>
    </w:lvl>
  </w:abstractNum>
  <w:abstractNum w:abstractNumId="237">
    <w:nsid w:val="407168D8"/>
    <w:multiLevelType w:val="hybridMultilevel"/>
    <w:lvl w:ilvl="0">
      <w:lvlJc w:val="left"/>
      <w:lvlText w:val="•"/>
      <w:numFmt w:val="bullet"/>
      <w:start w:val="1"/>
    </w:lvl>
  </w:abstractNum>
  <w:abstractNum w:abstractNumId="238">
    <w:nsid w:val="6A1B45E5"/>
    <w:multiLevelType w:val="hybridMultilevel"/>
    <w:lvl w:ilvl="0">
      <w:lvlJc w:val="left"/>
      <w:lvlText w:val="•"/>
      <w:numFmt w:val="bullet"/>
      <w:start w:val="1"/>
    </w:lvl>
  </w:abstractNum>
  <w:abstractNum w:abstractNumId="239">
    <w:nsid w:val="567BD50A"/>
    <w:multiLevelType w:val="hybridMultilevel"/>
    <w:lvl w:ilvl="0">
      <w:lvlJc w:val="left"/>
      <w:lvlText w:val="(%1)"/>
      <w:numFmt w:val="decimal"/>
      <w:start w:val="1"/>
    </w:lvl>
  </w:abstractNum>
  <w:abstractNum w:abstractNumId="240">
    <w:nsid w:val="73BBD7F8"/>
    <w:multiLevelType w:val="hybridMultilevel"/>
    <w:lvl w:ilvl="0">
      <w:lvlJc w:val="left"/>
      <w:lvlText w:val="(%1)"/>
      <w:numFmt w:val="decimal"/>
      <w:start w:val="1"/>
    </w:lvl>
  </w:abstractNum>
  <w:abstractNum w:abstractNumId="241">
    <w:nsid w:val="1876589D"/>
    <w:multiLevelType w:val="hybridMultilevel"/>
    <w:lvl w:ilvl="0">
      <w:lvlJc w:val="left"/>
      <w:lvlText w:val="•"/>
      <w:numFmt w:val="bullet"/>
      <w:start w:val="1"/>
    </w:lvl>
  </w:abstractNum>
  <w:abstractNum w:abstractNumId="242">
    <w:nsid w:val="327FAC7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3">
    <w:nsid w:val="5A606509"/>
    <w:multiLevelType w:val="hybridMultilevel"/>
    <w:lvl w:ilvl="0">
      <w:lvlJc w:val="left"/>
      <w:lvlText w:val="•"/>
      <w:numFmt w:val="bullet"/>
      <w:start w:val="1"/>
    </w:lvl>
    <w:lvl w:ilvl="1">
      <w:lvlJc w:val="left"/>
      <w:lvlText w:val="•"/>
      <w:numFmt w:val="bullet"/>
      <w:start w:val="1"/>
    </w:lvl>
  </w:abstractNum>
  <w:abstractNum w:abstractNumId="244">
    <w:nsid w:val="6F38E6D1"/>
    <w:multiLevelType w:val="hybridMultilevel"/>
    <w:lvl w:ilvl="0">
      <w:lvlJc w:val="left"/>
      <w:lvlText w:val="•"/>
      <w:numFmt w:val="bullet"/>
      <w:start w:val="1"/>
    </w:lvl>
    <w:lvl w:ilvl="1">
      <w:lvlJc w:val="left"/>
      <w:lvlText w:val="•"/>
      <w:numFmt w:val="bullet"/>
      <w:start w:val="1"/>
    </w:lvl>
  </w:abstractNum>
  <w:abstractNum w:abstractNumId="245">
    <w:nsid w:val="46111BA5"/>
    <w:multiLevelType w:val="hybridMultilevel"/>
    <w:lvl w:ilvl="0">
      <w:lvlJc w:val="left"/>
      <w:lvlText w:val="•"/>
      <w:numFmt w:val="bullet"/>
      <w:start w:val="1"/>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
      <w:numFmt w:val="bullet"/>
      <w:start w:val="1"/>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
      <w:numFmt w:val="bullet"/>
      <w:start w:val="1"/>
    </w:lvl>
  </w:abstractNum>
  <w:abstractNum w:abstractNumId="250">
    <w:nsid w:val="4695AE95"/>
    <w:multiLevelType w:val="hybridMultilevel"/>
    <w:lvl w:ilvl="0">
      <w:lvlJc w:val="left"/>
      <w:lvlText w:val="•"/>
      <w:numFmt w:val="bullet"/>
      <w:start w:val="1"/>
    </w:lvl>
  </w:abstractNum>
  <w:abstractNum w:abstractNumId="251">
    <w:nsid w:val="777A4EAA"/>
    <w:multiLevelType w:val="hybridMultilevel"/>
    <w:lvl w:ilvl="0">
      <w:lvlJc w:val="left"/>
      <w:lvlText w:val="•"/>
      <w:numFmt w:val="bullet"/>
      <w:start w:val="1"/>
    </w:lvl>
  </w:abstractNum>
  <w:abstractNum w:abstractNumId="252">
    <w:nsid w:val="3F48B982"/>
    <w:multiLevelType w:val="hybridMultilevel"/>
    <w:lvl w:ilvl="0">
      <w:lvlJc w:val="left"/>
      <w:lvlText w:val="•"/>
      <w:numFmt w:val="bullet"/>
      <w:start w:val="1"/>
    </w:lvl>
  </w:abstractNum>
  <w:abstractNum w:abstractNumId="253">
    <w:nsid w:val="46BA8FCA"/>
    <w:multiLevelType w:val="hybridMultilevel"/>
    <w:lvl w:ilvl="0">
      <w:lvlJc w:val="left"/>
      <w:lvlText w:val="•"/>
      <w:numFmt w:val="bullet"/>
      <w:start w:val="1"/>
    </w:lvl>
  </w:abstractNum>
  <w:abstractNum w:abstractNumId="254">
    <w:nsid w:val="7835626C"/>
    <w:multiLevelType w:val="hybridMultilevel"/>
    <w:lvl w:ilvl="0">
      <w:lvlJc w:val="left"/>
      <w:lvlText w:val="•"/>
      <w:numFmt w:val="bullet"/>
      <w:start w:val="1"/>
    </w:lvl>
  </w:abstractNum>
  <w:abstractNum w:abstractNumId="255">
    <w:nsid w:val="665ACA49"/>
    <w:multiLevelType w:val="hybridMultilevel"/>
    <w:lvl w:ilvl="0">
      <w:lvlJc w:val="left"/>
      <w:lvlText w:val="•"/>
      <w:numFmt w:val="bullet"/>
      <w:start w:val="1"/>
    </w:lvl>
  </w:abstractNum>
  <w:abstractNum w:abstractNumId="256">
    <w:nsid w:val="6835B2AE"/>
    <w:multiLevelType w:val="hybridMultilevel"/>
    <w:lvl w:ilvl="0">
      <w:lvlJc w:val="left"/>
      <w:lvlText w:val="•"/>
      <w:numFmt w:val="bullet"/>
      <w:start w:val="1"/>
    </w:lvl>
  </w:abstractNum>
  <w:abstractNum w:abstractNumId="257">
    <w:nsid w:val="4C187C90"/>
    <w:multiLevelType w:val="hybridMultilevel"/>
    <w:lvl w:ilvl="0">
      <w:lvlJc w:val="left"/>
      <w:lvlText w:val="(%1)"/>
      <w:numFmt w:val="lowerLetter"/>
      <w:start w:val="1"/>
    </w:lvl>
  </w:abstractNum>
  <w:abstractNum w:abstractNumId="258">
    <w:nsid w:val="541F28CD"/>
    <w:multiLevelType w:val="hybridMultilevel"/>
    <w:lvl w:ilvl="0">
      <w:lvlJc w:val="left"/>
      <w:lvlText w:val="(%1)"/>
      <w:numFmt w:val="lowerLetter"/>
      <w:start w:val="2"/>
    </w:lvl>
  </w:abstractNum>
  <w:abstractNum w:abstractNumId="259">
    <w:nsid w:val="7F65FD16"/>
    <w:multiLevelType w:val="hybridMultilevel"/>
    <w:lvl w:ilvl="0">
      <w:lvlJc w:val="left"/>
      <w:lvlText w:val="(%1)"/>
      <w:numFmt w:val="lowerLetter"/>
      <w:start w:val="1"/>
    </w:lvl>
  </w:abstractNum>
  <w:abstractNum w:abstractNumId="260">
    <w:nsid w:val="77C9FD68"/>
    <w:multiLevelType w:val="hybridMultilevel"/>
    <w:lvl w:ilvl="0">
      <w:lvlJc w:val="left"/>
      <w:lvlText w:val="$"/>
      <w:numFmt w:val="bullet"/>
      <w:start w:val="1"/>
    </w:lvl>
  </w:abstractNum>
  <w:abstractNum w:abstractNumId="261">
    <w:nsid w:val="298A92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2019-12-09T21:53:47Z</dcterms:created>
  <dcterms:modified xsi:type="dcterms:W3CDTF">2019-12-09T21:53:47Z</dcterms:modified>
</cp:coreProperties>
</file>